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2048F7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DF7CDA">
        <w:rPr>
          <w:b/>
          <w:bCs/>
          <w:sz w:val="28"/>
          <w:szCs w:val="28"/>
        </w:rPr>
        <w:t xml:space="preserve"> </w:t>
      </w:r>
      <w:r w:rsidR="00031548">
        <w:rPr>
          <w:b/>
          <w:bCs/>
          <w:sz w:val="28"/>
          <w:szCs w:val="28"/>
        </w:rPr>
        <w:t xml:space="preserve">23.12.2022 г. </w:t>
      </w:r>
      <w:r w:rsidRPr="003D206B">
        <w:rPr>
          <w:b/>
          <w:bCs/>
          <w:sz w:val="28"/>
          <w:szCs w:val="28"/>
        </w:rPr>
        <w:t>№</w:t>
      </w:r>
      <w:r w:rsidR="00031548">
        <w:rPr>
          <w:b/>
          <w:bCs/>
          <w:sz w:val="28"/>
          <w:szCs w:val="28"/>
        </w:rPr>
        <w:t xml:space="preserve"> 140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7D6B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 w:rsidR="004B1089">
              <w:rPr>
                <w:sz w:val="28"/>
                <w:szCs w:val="28"/>
              </w:rPr>
              <w:t xml:space="preserve">вопросам экономического развития и финансово-бюджетной политике </w:t>
            </w:r>
            <w:r>
              <w:rPr>
                <w:sz w:val="28"/>
                <w:szCs w:val="28"/>
              </w:rPr>
              <w:t>о вып</w:t>
            </w:r>
            <w:r w:rsidR="006E0DD6">
              <w:rPr>
                <w:sz w:val="28"/>
                <w:szCs w:val="28"/>
              </w:rPr>
              <w:t>олнении своих полномочий за 202</w:t>
            </w:r>
            <w:r w:rsidR="007D6BA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proofErr w:type="spellStart"/>
      <w:r w:rsidR="00E27B26">
        <w:rPr>
          <w:sz w:val="28"/>
          <w:szCs w:val="28"/>
        </w:rPr>
        <w:t>А.Н.Какорина</w:t>
      </w:r>
      <w:proofErr w:type="spellEnd"/>
      <w:r>
        <w:rPr>
          <w:sz w:val="28"/>
          <w:szCs w:val="28"/>
        </w:rPr>
        <w:t xml:space="preserve">  о выполнении полном</w:t>
      </w:r>
      <w:r w:rsidR="00284744">
        <w:rPr>
          <w:sz w:val="28"/>
          <w:szCs w:val="28"/>
        </w:rPr>
        <w:t>очий постоянной комиссии за</w:t>
      </w:r>
      <w:r w:rsidR="006E0DD6">
        <w:rPr>
          <w:sz w:val="28"/>
          <w:szCs w:val="28"/>
        </w:rPr>
        <w:t xml:space="preserve"> 202</w:t>
      </w:r>
      <w:r w:rsidR="00E27B26">
        <w:rPr>
          <w:sz w:val="28"/>
          <w:szCs w:val="28"/>
        </w:rPr>
        <w:t>2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r>
        <w:rPr>
          <w:sz w:val="28"/>
          <w:szCs w:val="28"/>
        </w:rPr>
        <w:t>о вып</w:t>
      </w:r>
      <w:r w:rsidR="006E0DD6">
        <w:rPr>
          <w:sz w:val="28"/>
          <w:szCs w:val="28"/>
        </w:rPr>
        <w:t>олнении своих полномочий за 202</w:t>
      </w:r>
      <w:r w:rsidR="00E27B26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 утвердить.</w:t>
      </w: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336861" w:rsidRDefault="00336861" w:rsidP="00336861">
      <w:pPr>
        <w:rPr>
          <w:bCs/>
          <w:sz w:val="28"/>
          <w:szCs w:val="28"/>
        </w:rPr>
      </w:pPr>
    </w:p>
    <w:p w:rsidR="006E0DD6" w:rsidRDefault="006E0DD6" w:rsidP="006E0DD6">
      <w:pPr>
        <w:rPr>
          <w:bCs/>
          <w:sz w:val="28"/>
          <w:szCs w:val="28"/>
        </w:rPr>
      </w:pP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к решению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Борисоглебской городской Думы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Борисоглебского городского округа </w:t>
      </w:r>
    </w:p>
    <w:p w:rsidR="006E0DD6" w:rsidRDefault="006E0DD6" w:rsidP="006E0DD6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>
        <w:rPr>
          <w:sz w:val="22"/>
          <w:szCs w:val="22"/>
        </w:rPr>
        <w:t xml:space="preserve">Воронежской области </w:t>
      </w:r>
    </w:p>
    <w:p w:rsidR="006E0DD6" w:rsidRDefault="00031548" w:rsidP="006E0DD6">
      <w:pPr>
        <w:ind w:left="5812"/>
        <w:rPr>
          <w:b/>
          <w:i/>
          <w:sz w:val="28"/>
          <w:szCs w:val="28"/>
        </w:rPr>
      </w:pPr>
      <w:r>
        <w:rPr>
          <w:sz w:val="22"/>
          <w:szCs w:val="22"/>
        </w:rPr>
        <w:t xml:space="preserve">от 23.12.2022 г. </w:t>
      </w:r>
      <w:r w:rsidR="00625773">
        <w:rPr>
          <w:sz w:val="22"/>
          <w:szCs w:val="22"/>
        </w:rPr>
        <w:t xml:space="preserve"> </w:t>
      </w:r>
      <w:r w:rsidR="006E0DD6">
        <w:rPr>
          <w:sz w:val="22"/>
          <w:szCs w:val="22"/>
        </w:rPr>
        <w:t>№</w:t>
      </w:r>
      <w:r w:rsidR="00625773">
        <w:rPr>
          <w:sz w:val="22"/>
          <w:szCs w:val="22"/>
        </w:rPr>
        <w:t xml:space="preserve"> </w:t>
      </w:r>
      <w:r>
        <w:rPr>
          <w:sz w:val="22"/>
          <w:szCs w:val="22"/>
        </w:rPr>
        <w:t>140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ОТЧЕТ ПОСТОЯННОЙ КОМИССИИ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БОРИСОГЛЕБСКОЙ ГОРОДСКОЙ ДУМЫ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ПО ВОПРОСАМ ЭКОНОМИЧЕСКОГО РАЗВИТИЯ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И ФИНАНСОВО-БЮДЖЕТНОЙ ПОЛИТИКЕ </w:t>
      </w: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ВЫПОЛНЕНИИ СВОИХ ПОЛНОМОЧИЙ ЗА 202</w:t>
      </w:r>
      <w:r w:rsidR="00E27B2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6E0DD6" w:rsidRDefault="006E0DD6" w:rsidP="006E0DD6">
      <w:pPr>
        <w:ind w:firstLine="567"/>
        <w:rPr>
          <w:b/>
          <w:i/>
          <w:sz w:val="28"/>
          <w:szCs w:val="28"/>
        </w:rPr>
      </w:pPr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городская Дума).  </w:t>
      </w:r>
      <w:proofErr w:type="gramStart"/>
      <w:r>
        <w:rPr>
          <w:sz w:val="28"/>
          <w:szCs w:val="28"/>
        </w:rPr>
        <w:t>С учетом изменений от 25.01.2018 г. № 156 в Регламент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утвердила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</w:t>
      </w:r>
      <w:proofErr w:type="gramEnd"/>
      <w:r>
        <w:rPr>
          <w:sz w:val="28"/>
          <w:szCs w:val="28"/>
        </w:rPr>
        <w:t xml:space="preserve">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экономического развития и финансово-бюджетной политике.</w:t>
      </w:r>
    </w:p>
    <w:p w:rsidR="006E0DD6" w:rsidRDefault="006E0DD6" w:rsidP="006E0D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  комиссии по вопросам экономического развития и финансово-бюджетной политике  утвержден решением  городской Думы от </w:t>
      </w:r>
      <w:r w:rsidR="00DC29F8" w:rsidRPr="00DC29F8">
        <w:rPr>
          <w:sz w:val="28"/>
          <w:szCs w:val="28"/>
        </w:rPr>
        <w:t>30.09.2021г.</w:t>
      </w:r>
      <w:r w:rsidRPr="00DC29F8">
        <w:rPr>
          <w:sz w:val="28"/>
          <w:szCs w:val="28"/>
        </w:rPr>
        <w:t xml:space="preserve"> №</w:t>
      </w:r>
      <w:r w:rsidR="00DC29F8" w:rsidRPr="00DC29F8">
        <w:rPr>
          <w:sz w:val="28"/>
          <w:szCs w:val="28"/>
        </w:rPr>
        <w:t>3</w:t>
      </w:r>
      <w:r w:rsidRPr="00DC29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A43E4">
        <w:rPr>
          <w:sz w:val="28"/>
          <w:szCs w:val="28"/>
        </w:rPr>
        <w:t>В состав комиссии на основании соб</w:t>
      </w:r>
      <w:r w:rsidR="009D6515" w:rsidRPr="005A43E4">
        <w:rPr>
          <w:sz w:val="28"/>
          <w:szCs w:val="28"/>
        </w:rPr>
        <w:t xml:space="preserve">ственного волеизъявления вошли </w:t>
      </w:r>
      <w:r w:rsidR="005A43E4" w:rsidRPr="005A43E4">
        <w:rPr>
          <w:sz w:val="28"/>
          <w:szCs w:val="28"/>
        </w:rPr>
        <w:t xml:space="preserve"> первоначально </w:t>
      </w:r>
      <w:r w:rsidRPr="005A43E4">
        <w:rPr>
          <w:sz w:val="28"/>
          <w:szCs w:val="28"/>
        </w:rPr>
        <w:t>1</w:t>
      </w:r>
      <w:r w:rsidR="007D6BA4" w:rsidRPr="005A43E4">
        <w:rPr>
          <w:sz w:val="28"/>
          <w:szCs w:val="28"/>
        </w:rPr>
        <w:t>5</w:t>
      </w:r>
      <w:r w:rsidRPr="005A43E4">
        <w:rPr>
          <w:sz w:val="28"/>
          <w:szCs w:val="28"/>
        </w:rPr>
        <w:t xml:space="preserve"> депутатов городской Думы: </w:t>
      </w:r>
      <w:proofErr w:type="spellStart"/>
      <w:r w:rsidRPr="005A43E4">
        <w:rPr>
          <w:sz w:val="28"/>
          <w:szCs w:val="28"/>
        </w:rPr>
        <w:t>Какорин</w:t>
      </w:r>
      <w:proofErr w:type="spellEnd"/>
      <w:r w:rsidRPr="005A43E4">
        <w:rPr>
          <w:sz w:val="28"/>
          <w:szCs w:val="28"/>
        </w:rPr>
        <w:t xml:space="preserve"> А.Н</w:t>
      </w:r>
      <w:r w:rsidR="007D6BA4" w:rsidRPr="005A43E4">
        <w:rPr>
          <w:sz w:val="28"/>
          <w:szCs w:val="28"/>
        </w:rPr>
        <w:t>.</w:t>
      </w:r>
      <w:r w:rsidRPr="005A43E4">
        <w:rPr>
          <w:sz w:val="28"/>
          <w:szCs w:val="28"/>
        </w:rPr>
        <w:t>,</w:t>
      </w:r>
      <w:r w:rsidR="007D6BA4" w:rsidRPr="005A43E4">
        <w:rPr>
          <w:sz w:val="28"/>
          <w:szCs w:val="28"/>
        </w:rPr>
        <w:t xml:space="preserve"> Бондаренко Е.В., Бражников С.О.</w:t>
      </w:r>
      <w:r w:rsidR="00452AE6" w:rsidRPr="005A43E4">
        <w:rPr>
          <w:sz w:val="28"/>
          <w:szCs w:val="28"/>
        </w:rPr>
        <w:t xml:space="preserve">, Гуляев С.А., </w:t>
      </w:r>
      <w:proofErr w:type="spellStart"/>
      <w:r w:rsidR="00452AE6" w:rsidRPr="005A43E4">
        <w:rPr>
          <w:sz w:val="28"/>
          <w:szCs w:val="28"/>
        </w:rPr>
        <w:t>Клепко</w:t>
      </w:r>
      <w:proofErr w:type="spellEnd"/>
      <w:r w:rsidR="00452AE6" w:rsidRPr="005A43E4">
        <w:rPr>
          <w:sz w:val="28"/>
          <w:szCs w:val="28"/>
        </w:rPr>
        <w:t xml:space="preserve"> Г.В., </w:t>
      </w:r>
      <w:proofErr w:type="spellStart"/>
      <w:r w:rsidR="00452AE6" w:rsidRPr="005A43E4">
        <w:rPr>
          <w:sz w:val="28"/>
          <w:szCs w:val="28"/>
        </w:rPr>
        <w:t>Клинев</w:t>
      </w:r>
      <w:proofErr w:type="spellEnd"/>
      <w:r w:rsidR="00452AE6" w:rsidRPr="005A43E4">
        <w:rPr>
          <w:sz w:val="28"/>
          <w:szCs w:val="28"/>
        </w:rPr>
        <w:t xml:space="preserve"> Д.А., </w:t>
      </w:r>
      <w:proofErr w:type="spellStart"/>
      <w:r w:rsidR="00452AE6" w:rsidRPr="005A43E4">
        <w:rPr>
          <w:sz w:val="28"/>
          <w:szCs w:val="28"/>
        </w:rPr>
        <w:t>Ко</w:t>
      </w:r>
      <w:r w:rsidR="009D6515" w:rsidRPr="005A43E4">
        <w:rPr>
          <w:sz w:val="28"/>
          <w:szCs w:val="28"/>
        </w:rPr>
        <w:t>невский</w:t>
      </w:r>
      <w:proofErr w:type="spellEnd"/>
      <w:r w:rsidR="009D6515" w:rsidRPr="005A43E4">
        <w:rPr>
          <w:sz w:val="28"/>
          <w:szCs w:val="28"/>
        </w:rPr>
        <w:t xml:space="preserve"> Р.Ю., Крылов Е.С., Маки</w:t>
      </w:r>
      <w:r w:rsidR="00452AE6" w:rsidRPr="005A43E4">
        <w:rPr>
          <w:sz w:val="28"/>
          <w:szCs w:val="28"/>
        </w:rPr>
        <w:t xml:space="preserve">енко И.Н., </w:t>
      </w:r>
      <w:proofErr w:type="spellStart"/>
      <w:r w:rsidR="00452AE6" w:rsidRPr="005A43E4">
        <w:rPr>
          <w:sz w:val="28"/>
          <w:szCs w:val="28"/>
        </w:rPr>
        <w:t>Негадова</w:t>
      </w:r>
      <w:proofErr w:type="spellEnd"/>
      <w:r w:rsidR="00452AE6" w:rsidRPr="005A43E4">
        <w:rPr>
          <w:sz w:val="28"/>
          <w:szCs w:val="28"/>
        </w:rPr>
        <w:t xml:space="preserve"> Г.В., Недорезов К.Л., Павлов В.Н., Рязанцева Е.А., </w:t>
      </w:r>
      <w:proofErr w:type="spellStart"/>
      <w:r w:rsidR="00452AE6" w:rsidRPr="005A43E4">
        <w:rPr>
          <w:sz w:val="28"/>
          <w:szCs w:val="28"/>
        </w:rPr>
        <w:t>Сухинин</w:t>
      </w:r>
      <w:proofErr w:type="spellEnd"/>
      <w:r w:rsidR="00452AE6" w:rsidRPr="005A43E4">
        <w:rPr>
          <w:sz w:val="28"/>
          <w:szCs w:val="28"/>
        </w:rPr>
        <w:t xml:space="preserve"> А.А., Тарасов И.</w:t>
      </w:r>
      <w:proofErr w:type="gramStart"/>
      <w:r w:rsidR="00452AE6" w:rsidRPr="005A43E4">
        <w:rPr>
          <w:sz w:val="28"/>
          <w:szCs w:val="28"/>
        </w:rPr>
        <w:t>И.</w:t>
      </w:r>
      <w:proofErr w:type="gramEnd"/>
      <w:r w:rsidRPr="005A43E4">
        <w:rPr>
          <w:sz w:val="28"/>
          <w:szCs w:val="28"/>
        </w:rPr>
        <w:t xml:space="preserve"> </w:t>
      </w:r>
      <w:r w:rsidR="005A43E4" w:rsidRPr="005A43E4">
        <w:rPr>
          <w:sz w:val="28"/>
          <w:szCs w:val="28"/>
        </w:rPr>
        <w:t xml:space="preserve"> Однако</w:t>
      </w:r>
      <w:r w:rsidR="005A43E4">
        <w:rPr>
          <w:sz w:val="28"/>
          <w:szCs w:val="28"/>
        </w:rPr>
        <w:t xml:space="preserve">, по состоянию на отчетную дату в  состав комиссии входят 14 человек (покинули в 2022 </w:t>
      </w:r>
      <w:proofErr w:type="gramStart"/>
      <w:r w:rsidR="005A43E4">
        <w:rPr>
          <w:sz w:val="28"/>
          <w:szCs w:val="28"/>
        </w:rPr>
        <w:t xml:space="preserve">году состав Бражников С.О., Крылов Е.С., включена в состав Колесникова Е.Н.) </w:t>
      </w:r>
      <w:r>
        <w:rPr>
          <w:sz w:val="28"/>
          <w:szCs w:val="28"/>
        </w:rPr>
        <w:t xml:space="preserve">Решением Борисоглебской городской Думы председателем указанной комиссии был избран  </w:t>
      </w:r>
      <w:r w:rsidR="00452AE6">
        <w:rPr>
          <w:sz w:val="28"/>
          <w:szCs w:val="28"/>
        </w:rPr>
        <w:t>Какорин А.Н</w:t>
      </w:r>
      <w:r>
        <w:rPr>
          <w:sz w:val="28"/>
          <w:szCs w:val="28"/>
        </w:rPr>
        <w:t xml:space="preserve">. Согласно статье 19 Регламента на первом  заседании вновь созданной комиссии по вопросам экономического развития и финансово-бюджетной политике из ее </w:t>
      </w:r>
      <w:r w:rsidRPr="00DC29F8">
        <w:rPr>
          <w:sz w:val="28"/>
          <w:szCs w:val="28"/>
        </w:rPr>
        <w:t>состава заме</w:t>
      </w:r>
      <w:r w:rsidR="009D6515">
        <w:rPr>
          <w:sz w:val="28"/>
          <w:szCs w:val="28"/>
        </w:rPr>
        <w:t xml:space="preserve">стителем председателя комиссии </w:t>
      </w:r>
      <w:r w:rsidRPr="00DC29F8">
        <w:rPr>
          <w:sz w:val="28"/>
          <w:szCs w:val="28"/>
        </w:rPr>
        <w:t xml:space="preserve">избран </w:t>
      </w:r>
      <w:proofErr w:type="spellStart"/>
      <w:r w:rsidR="00D03253" w:rsidRPr="00DC29F8">
        <w:rPr>
          <w:sz w:val="28"/>
          <w:szCs w:val="28"/>
        </w:rPr>
        <w:t>Коневский</w:t>
      </w:r>
      <w:proofErr w:type="spellEnd"/>
      <w:r w:rsidR="00D03253" w:rsidRPr="00DC29F8">
        <w:rPr>
          <w:sz w:val="28"/>
          <w:szCs w:val="28"/>
        </w:rPr>
        <w:t xml:space="preserve"> Р.Ю</w:t>
      </w:r>
      <w:r w:rsidRPr="00DC29F8">
        <w:rPr>
          <w:sz w:val="28"/>
          <w:szCs w:val="28"/>
        </w:rPr>
        <w:t xml:space="preserve">., секретарем комиссии – </w:t>
      </w:r>
      <w:r w:rsidR="00452AE6" w:rsidRPr="00DC29F8">
        <w:rPr>
          <w:sz w:val="28"/>
          <w:szCs w:val="28"/>
        </w:rPr>
        <w:t>Макиенко И.Н</w:t>
      </w:r>
      <w:r w:rsidRPr="00DC29F8">
        <w:rPr>
          <w:sz w:val="28"/>
          <w:szCs w:val="28"/>
        </w:rPr>
        <w:t>.</w:t>
      </w:r>
      <w:proofErr w:type="gramEnd"/>
    </w:p>
    <w:p w:rsidR="006E0DD6" w:rsidRDefault="006E0DD6" w:rsidP="006E0DD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В 202</w:t>
      </w:r>
      <w:r w:rsidR="000F4F5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комиссия по вопросам экономического развития и финансово-бюджетной политике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 вопросам экономического развития </w:t>
      </w:r>
      <w:r>
        <w:rPr>
          <w:sz w:val="28"/>
          <w:szCs w:val="28"/>
        </w:rPr>
        <w:lastRenderedPageBreak/>
        <w:t>и финансово-бюджетной политике, утвержденным решением Борисоглебской городской Думы от 26.02.2018 г. № 173.</w:t>
      </w:r>
    </w:p>
    <w:p w:rsidR="006E0DD6" w:rsidRDefault="006E0DD6" w:rsidP="006E0DD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Комиссия по вопросам экономического развития и финансово-бюджетной политике в течение 202</w:t>
      </w:r>
      <w:r w:rsidR="000F4F5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работала  в соответствии с  полугодовыми планами, разработанными и утвержденными на заседаниях постоянной комиссии. </w:t>
      </w: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202</w:t>
      </w:r>
      <w:r w:rsidR="000F4F52">
        <w:rPr>
          <w:sz w:val="28"/>
          <w:szCs w:val="28"/>
        </w:rPr>
        <w:t>2</w:t>
      </w:r>
      <w:r>
        <w:rPr>
          <w:sz w:val="28"/>
          <w:szCs w:val="28"/>
        </w:rPr>
        <w:t xml:space="preserve"> год было проведено </w:t>
      </w:r>
      <w:r w:rsidR="00DC29F8">
        <w:rPr>
          <w:sz w:val="28"/>
          <w:szCs w:val="28"/>
        </w:rPr>
        <w:t>8</w:t>
      </w:r>
      <w:r>
        <w:rPr>
          <w:sz w:val="28"/>
          <w:szCs w:val="28"/>
        </w:rPr>
        <w:t xml:space="preserve"> заседаний комиссии по вопросам экономического развития и финансово-бюджетной политике (далее </w:t>
      </w:r>
      <w:proofErr w:type="gramStart"/>
      <w:r>
        <w:rPr>
          <w:sz w:val="28"/>
          <w:szCs w:val="28"/>
        </w:rPr>
        <w:t>-</w:t>
      </w:r>
      <w:r w:rsidR="00B03A66"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омиссией).</w:t>
      </w:r>
    </w:p>
    <w:p w:rsidR="006E0DD6" w:rsidRDefault="006E0DD6" w:rsidP="006E0DD6">
      <w:pPr>
        <w:jc w:val="both"/>
        <w:rPr>
          <w:b/>
          <w:i/>
          <w:sz w:val="28"/>
          <w:szCs w:val="28"/>
        </w:rPr>
      </w:pPr>
    </w:p>
    <w:p w:rsidR="006E0DD6" w:rsidRDefault="006E0DD6" w:rsidP="006E0DD6">
      <w:pPr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202</w:t>
      </w:r>
      <w:r w:rsidR="000F4F52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году заседаний  членами комиссии по вопросам экономического развития и финансово-бюджетной политике</w:t>
      </w:r>
    </w:p>
    <w:p w:rsidR="006E0DD6" w:rsidRDefault="00AA0545" w:rsidP="006E0DD6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 w:rsidRPr="00D627FE">
        <w:rPr>
          <w:i/>
          <w:sz w:val="28"/>
          <w:szCs w:val="28"/>
        </w:rPr>
        <w:t>(без учета заседания № 8)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5159"/>
        <w:gridCol w:w="1690"/>
        <w:gridCol w:w="1933"/>
      </w:tblGrid>
      <w:tr w:rsidR="006E0DD6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AA0545" w:rsidRDefault="006E0DD6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AA0545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AA0545" w:rsidRDefault="006E0DD6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AA0545">
              <w:rPr>
                <w:sz w:val="28"/>
                <w:szCs w:val="28"/>
              </w:rPr>
              <w:t>Процент посещаемости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Какорин А.Н.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A0545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Бондаренко Е.В.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A0545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A0545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Гуляев С.А.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75</w:t>
            </w:r>
            <w:r w:rsidR="00AA0545" w:rsidRPr="00611583">
              <w:rPr>
                <w:sz w:val="28"/>
                <w:szCs w:val="28"/>
              </w:rPr>
              <w:t>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A0545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DC29F8">
              <w:rPr>
                <w:sz w:val="28"/>
                <w:szCs w:val="28"/>
              </w:rPr>
              <w:t>Клепко</w:t>
            </w:r>
            <w:proofErr w:type="spellEnd"/>
            <w:r w:rsidRPr="00DC29F8">
              <w:rPr>
                <w:sz w:val="28"/>
                <w:szCs w:val="28"/>
              </w:rPr>
              <w:t xml:space="preserve"> Г.В.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A0545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62</w:t>
            </w:r>
            <w:r w:rsidR="00AA0545" w:rsidRPr="00611583">
              <w:rPr>
                <w:sz w:val="28"/>
                <w:szCs w:val="28"/>
              </w:rPr>
              <w:t>,</w:t>
            </w:r>
            <w:r w:rsidRPr="00611583">
              <w:rPr>
                <w:sz w:val="28"/>
                <w:szCs w:val="28"/>
              </w:rPr>
              <w:t>5%</w:t>
            </w:r>
          </w:p>
        </w:tc>
      </w:tr>
      <w:tr w:rsidR="000F4F52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DC29F8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Клинё</w:t>
            </w:r>
            <w:r w:rsidR="000F4F52" w:rsidRPr="00DC29F8">
              <w:rPr>
                <w:sz w:val="28"/>
                <w:szCs w:val="28"/>
              </w:rPr>
              <w:t>в</w:t>
            </w:r>
            <w:proofErr w:type="spellEnd"/>
            <w:r w:rsidR="000F4F52" w:rsidRPr="00DC29F8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87,5</w:t>
            </w:r>
            <w:r w:rsidR="00AA0545" w:rsidRPr="00611583">
              <w:rPr>
                <w:sz w:val="28"/>
                <w:szCs w:val="28"/>
              </w:rPr>
              <w:t>%</w:t>
            </w:r>
          </w:p>
        </w:tc>
      </w:tr>
      <w:tr w:rsidR="00AA0545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Default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Колесникова Е.Н.</w:t>
            </w:r>
            <w:r>
              <w:rPr>
                <w:sz w:val="28"/>
                <w:szCs w:val="28"/>
              </w:rPr>
              <w:t xml:space="preserve"> </w:t>
            </w:r>
            <w:r w:rsidRPr="00A5350B">
              <w:rPr>
                <w:i/>
                <w:sz w:val="28"/>
                <w:szCs w:val="28"/>
              </w:rPr>
              <w:t>(с ноября 2022г.)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0F4F52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DC29F8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DC29F8">
              <w:rPr>
                <w:sz w:val="28"/>
                <w:szCs w:val="28"/>
              </w:rPr>
              <w:t>Коневский</w:t>
            </w:r>
            <w:proofErr w:type="spellEnd"/>
            <w:r w:rsidRPr="00DC29F8">
              <w:rPr>
                <w:sz w:val="28"/>
                <w:szCs w:val="28"/>
              </w:rPr>
              <w:t xml:space="preserve"> Р.Ю.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0F4F52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A5350B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DC29F8" w:rsidRDefault="009D651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Маки</w:t>
            </w:r>
            <w:r w:rsidR="000F4F52" w:rsidRPr="00DC29F8">
              <w:rPr>
                <w:sz w:val="28"/>
                <w:szCs w:val="28"/>
              </w:rPr>
              <w:t>енко И.Н.,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87,5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A5350B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DC29F8">
              <w:rPr>
                <w:sz w:val="28"/>
                <w:szCs w:val="28"/>
              </w:rPr>
              <w:t>Негадова</w:t>
            </w:r>
            <w:proofErr w:type="spellEnd"/>
            <w:r w:rsidRPr="00DC29F8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75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0F4F52" w:rsidTr="006E0DD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Default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0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DC29F8" w:rsidRDefault="000F4F52" w:rsidP="000F4F52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Недорезов К.Л.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F52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87,5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Павлов В.Н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12,5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Рязанцева Е.А.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0F4F52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F537EA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DC29F8">
              <w:rPr>
                <w:sz w:val="28"/>
                <w:szCs w:val="28"/>
              </w:rPr>
              <w:t>Сухинин</w:t>
            </w:r>
            <w:proofErr w:type="spellEnd"/>
            <w:r w:rsidRPr="00DC29F8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12,5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6E0DD6" w:rsidTr="00DC29F8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Default="006E0DD6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350B"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DD6" w:rsidRPr="00DC29F8" w:rsidRDefault="00853129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DC29F8">
              <w:rPr>
                <w:sz w:val="28"/>
                <w:szCs w:val="28"/>
              </w:rPr>
              <w:t>Тарасов И.И.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DD6" w:rsidRPr="00AA0545" w:rsidRDefault="00611583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611583">
              <w:rPr>
                <w:sz w:val="28"/>
                <w:szCs w:val="28"/>
              </w:rPr>
              <w:t>75</w:t>
            </w:r>
            <w:r w:rsidR="00A5350B" w:rsidRPr="00611583">
              <w:rPr>
                <w:sz w:val="28"/>
                <w:szCs w:val="28"/>
              </w:rPr>
              <w:t>%</w:t>
            </w:r>
          </w:p>
        </w:tc>
      </w:tr>
      <w:tr w:rsidR="003E2319" w:rsidTr="00853129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319" w:rsidRDefault="003E2319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319" w:rsidRPr="00DC29F8" w:rsidRDefault="00A5350B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Крылов Е.С. </w:t>
            </w:r>
            <w:r w:rsidRPr="00A5350B">
              <w:rPr>
                <w:i/>
                <w:sz w:val="28"/>
                <w:szCs w:val="28"/>
              </w:rPr>
              <w:t>(до октября 2022 г.)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319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319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75 %</w:t>
            </w:r>
          </w:p>
        </w:tc>
      </w:tr>
      <w:tr w:rsidR="00A5350B" w:rsidTr="00853129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50B" w:rsidRDefault="00A5350B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50B" w:rsidRDefault="00A5350B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Бражников С.О. </w:t>
            </w:r>
            <w:r w:rsidRPr="00A5350B">
              <w:rPr>
                <w:i/>
                <w:sz w:val="28"/>
                <w:szCs w:val="28"/>
              </w:rPr>
              <w:t>(до июня 2022 г.)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50B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50B" w:rsidRPr="00AA0545" w:rsidRDefault="00A5350B" w:rsidP="00AA0545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</w:tbl>
    <w:p w:rsidR="006E0DD6" w:rsidRDefault="006E0DD6" w:rsidP="006E0DD6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7110AC" w:rsidRPr="007110AC" w:rsidRDefault="007110AC" w:rsidP="007110A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proofErr w:type="gramStart"/>
      <w:r w:rsidRPr="00D627FE">
        <w:rPr>
          <w:sz w:val="28"/>
          <w:szCs w:val="28"/>
        </w:rPr>
        <w:t>Согласно  подпункту 2 пункта 5 статьи 18 Регламента Борисоглебской городской Думы Борисоглебского городского округа Воронежской области, утвержденного решением  Борисоглебской городской Думы Борисоглебского городского округа Воронежской области от 29.10.2022 г. № 186 (в редакции решения от 07.07.2022 № 79), изменение персонального состава постоянных комиссий городской Думы может быть осуществлено по решению городской Думы на основании решения постоянной комиссии об исключении из  своего состава</w:t>
      </w:r>
      <w:proofErr w:type="gramEnd"/>
      <w:r w:rsidRPr="00D627FE">
        <w:rPr>
          <w:sz w:val="28"/>
          <w:szCs w:val="28"/>
        </w:rPr>
        <w:t xml:space="preserve"> депутата, пропустившего по итогам календарного года более 50 % заседаний постоянной комиссии без уважительных причин</w:t>
      </w:r>
      <w:r w:rsidRPr="00D627FE">
        <w:rPr>
          <w:bCs/>
          <w:sz w:val="28"/>
          <w:szCs w:val="28"/>
        </w:rPr>
        <w:t xml:space="preserve"> (болезнь, отпуск, командировка и другие), подтвержденных документально,</w:t>
      </w:r>
      <w:r w:rsidRPr="00D627FE">
        <w:rPr>
          <w:sz w:val="28"/>
          <w:szCs w:val="28"/>
        </w:rPr>
        <w:t xml:space="preserve"> и являющегося одновременно членом другой постоянной комиссии. </w:t>
      </w:r>
      <w:proofErr w:type="gramStart"/>
      <w:r w:rsidRPr="00D627FE">
        <w:rPr>
          <w:sz w:val="28"/>
          <w:szCs w:val="28"/>
        </w:rPr>
        <w:t xml:space="preserve">Исходя из данной нормы, у комиссии имеются основания для проведения уже в начале 2023 года процедуры по исключению из состава комиссии нескольких депутатов, которые не посещали или посещали крайне нерегулярно заседания комиссии в 2022 году </w:t>
      </w:r>
      <w:r w:rsidRPr="00D627FE">
        <w:rPr>
          <w:sz w:val="28"/>
          <w:szCs w:val="28"/>
        </w:rPr>
        <w:lastRenderedPageBreak/>
        <w:t xml:space="preserve">(Рязанцева Е.А., Павлов В.Н., </w:t>
      </w:r>
      <w:proofErr w:type="spellStart"/>
      <w:r w:rsidRPr="00D627FE">
        <w:rPr>
          <w:sz w:val="28"/>
          <w:szCs w:val="28"/>
        </w:rPr>
        <w:t>Сухинин</w:t>
      </w:r>
      <w:proofErr w:type="spellEnd"/>
      <w:r w:rsidRPr="00D627FE">
        <w:rPr>
          <w:sz w:val="28"/>
          <w:szCs w:val="28"/>
        </w:rPr>
        <w:t xml:space="preserve"> А.А.), в случае если причина этих пропусков не является уважительной.</w:t>
      </w:r>
      <w:proofErr w:type="gramEnd"/>
    </w:p>
    <w:p w:rsidR="007110AC" w:rsidRPr="007110AC" w:rsidRDefault="007110AC" w:rsidP="007110AC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6617F4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заседаниях депутатами – членами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были рассмотрены </w:t>
      </w:r>
      <w:r w:rsidR="00611583" w:rsidRPr="00611583">
        <w:rPr>
          <w:sz w:val="28"/>
          <w:szCs w:val="28"/>
        </w:rPr>
        <w:t>39</w:t>
      </w:r>
      <w:r w:rsidRPr="00611583">
        <w:rPr>
          <w:sz w:val="28"/>
          <w:szCs w:val="28"/>
        </w:rPr>
        <w:t xml:space="preserve"> вопрос</w:t>
      </w:r>
      <w:r w:rsidR="006617F4" w:rsidRPr="00611583">
        <w:rPr>
          <w:sz w:val="28"/>
          <w:szCs w:val="28"/>
        </w:rPr>
        <w:t>ов</w:t>
      </w:r>
      <w:r>
        <w:rPr>
          <w:sz w:val="28"/>
          <w:szCs w:val="28"/>
        </w:rPr>
        <w:t>. Большая часть вопросов была связана с  эффективным исполнением бюджета Борисоглебского городского округа  в 202</w:t>
      </w:r>
      <w:r w:rsidR="00460E7C">
        <w:rPr>
          <w:sz w:val="28"/>
          <w:szCs w:val="28"/>
        </w:rPr>
        <w:t>2</w:t>
      </w:r>
      <w:r>
        <w:rPr>
          <w:sz w:val="28"/>
          <w:szCs w:val="28"/>
        </w:rPr>
        <w:t xml:space="preserve"> году, а также формированием бюджета округа на </w:t>
      </w:r>
      <w:r w:rsidR="00DC29F8">
        <w:rPr>
          <w:sz w:val="28"/>
          <w:szCs w:val="28"/>
        </w:rPr>
        <w:t>2023 год и</w:t>
      </w:r>
      <w:r>
        <w:rPr>
          <w:sz w:val="28"/>
          <w:szCs w:val="28"/>
        </w:rPr>
        <w:t xml:space="preserve"> плановый период 202</w:t>
      </w:r>
      <w:r w:rsidR="00DC29F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DC29F8">
        <w:rPr>
          <w:sz w:val="28"/>
          <w:szCs w:val="28"/>
        </w:rPr>
        <w:t>5</w:t>
      </w:r>
      <w:r w:rsidR="00A5350B">
        <w:rPr>
          <w:sz w:val="28"/>
          <w:szCs w:val="28"/>
        </w:rPr>
        <w:t xml:space="preserve">  годов. </w:t>
      </w:r>
      <w:r>
        <w:rPr>
          <w:sz w:val="28"/>
          <w:szCs w:val="28"/>
        </w:rPr>
        <w:t>Были утверждены полугодовые планы работы постоянной комиссии по вопросам экономического развития и финансово-бюджетной политике на 1 и 2 полугодие 202</w:t>
      </w:r>
      <w:r w:rsidR="00D03253">
        <w:rPr>
          <w:sz w:val="28"/>
          <w:szCs w:val="28"/>
        </w:rPr>
        <w:t>2</w:t>
      </w:r>
      <w:r>
        <w:rPr>
          <w:sz w:val="28"/>
          <w:szCs w:val="28"/>
        </w:rPr>
        <w:t xml:space="preserve"> г. </w:t>
      </w:r>
    </w:p>
    <w:p w:rsidR="006E0DD6" w:rsidRDefault="006E0DD6" w:rsidP="006E0DD6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Депутатам Борисоглебской городской Думы был рекомендован к утверждению принятый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>омиссией проект решения «О бюджете Борисоглебского городского округа Воронежской области на 202</w:t>
      </w:r>
      <w:r w:rsidR="00D0325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D03253">
        <w:rPr>
          <w:sz w:val="28"/>
          <w:szCs w:val="28"/>
        </w:rPr>
        <w:t>3-</w:t>
      </w:r>
      <w:r>
        <w:rPr>
          <w:sz w:val="28"/>
          <w:szCs w:val="28"/>
        </w:rPr>
        <w:t>202</w:t>
      </w:r>
      <w:r w:rsidR="00D03253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годов». Комиссией  были приняты и рекомендованы к утверждению депутатами Борисоглебской городской Думы проекты решений «Об отчете о  деятельности контрольно-счетной палаты Борисоглебского городского округа Воронежской области за 20</w:t>
      </w:r>
      <w:r w:rsidR="00D03253">
        <w:rPr>
          <w:sz w:val="28"/>
          <w:szCs w:val="28"/>
        </w:rPr>
        <w:t>21</w:t>
      </w:r>
      <w:r>
        <w:rPr>
          <w:sz w:val="28"/>
          <w:szCs w:val="28"/>
        </w:rPr>
        <w:t xml:space="preserve"> год», «Об утверждении Отчета об исполнении бюджета Борисоглебского городского округа Воронежской области за 20</w:t>
      </w:r>
      <w:r w:rsidR="00D03253">
        <w:rPr>
          <w:sz w:val="28"/>
          <w:szCs w:val="28"/>
        </w:rPr>
        <w:t>21</w:t>
      </w:r>
      <w:r>
        <w:rPr>
          <w:sz w:val="28"/>
          <w:szCs w:val="28"/>
        </w:rPr>
        <w:t xml:space="preserve"> год»</w:t>
      </w:r>
      <w:r w:rsidR="00DC29F8">
        <w:rPr>
          <w:sz w:val="28"/>
          <w:szCs w:val="28"/>
        </w:rPr>
        <w:t xml:space="preserve">, </w:t>
      </w:r>
      <w:r w:rsidR="00B03A66">
        <w:rPr>
          <w:sz w:val="28"/>
          <w:szCs w:val="28"/>
        </w:rPr>
        <w:t>«</w:t>
      </w:r>
      <w:r w:rsidR="00DC29F8">
        <w:rPr>
          <w:sz w:val="28"/>
          <w:szCs w:val="28"/>
        </w:rPr>
        <w:t xml:space="preserve">Об утверждении Отчета о ходе реализации </w:t>
      </w:r>
      <w:proofErr w:type="gramStart"/>
      <w:r w:rsidR="00DC29F8">
        <w:rPr>
          <w:sz w:val="28"/>
          <w:szCs w:val="28"/>
        </w:rPr>
        <w:t>и</w:t>
      </w:r>
      <w:proofErr w:type="gramEnd"/>
      <w:r w:rsidR="00DC29F8">
        <w:rPr>
          <w:sz w:val="28"/>
          <w:szCs w:val="28"/>
        </w:rPr>
        <w:t xml:space="preserve"> об оценке эффективности в 2021 году муниципальных программ Борисоглебского городского округа Воронежской области</w:t>
      </w:r>
      <w:r w:rsidR="00B03A66">
        <w:rPr>
          <w:sz w:val="28"/>
          <w:szCs w:val="28"/>
        </w:rPr>
        <w:t>»</w:t>
      </w:r>
      <w:r w:rsidR="00DC29F8">
        <w:rPr>
          <w:sz w:val="28"/>
          <w:szCs w:val="28"/>
        </w:rPr>
        <w:t xml:space="preserve">, </w:t>
      </w:r>
      <w:r w:rsidR="00B03A66">
        <w:rPr>
          <w:sz w:val="28"/>
          <w:szCs w:val="28"/>
        </w:rPr>
        <w:t>«</w:t>
      </w:r>
      <w:r w:rsidR="00DC29F8">
        <w:rPr>
          <w:sz w:val="28"/>
          <w:szCs w:val="28"/>
        </w:rPr>
        <w:t>Об отчете администрации Борисоглебского городского округа Воронежской области и выполнении Программы приватизации муниципального имущества Борисоглебского городского округа Воронежской области на 2021 год</w:t>
      </w:r>
      <w:r w:rsidR="00B03A66">
        <w:rPr>
          <w:sz w:val="28"/>
          <w:szCs w:val="28"/>
        </w:rPr>
        <w:t>»</w:t>
      </w:r>
      <w:r w:rsidR="00DC29F8">
        <w:rPr>
          <w:sz w:val="28"/>
          <w:szCs w:val="28"/>
        </w:rPr>
        <w:t>.</w:t>
      </w:r>
    </w:p>
    <w:p w:rsidR="006E0DD6" w:rsidRDefault="006E0DD6" w:rsidP="006E0DD6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течение 202</w:t>
      </w:r>
      <w:r w:rsidR="00D0325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омиссией неоднократно рассматривались вопросы эффективного использования муниципального имущества, эффективного расходования бюджетных средств, увеличения доходной части бюджета округа, 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были внесены дополнения и изменения в Программу приватизации муниципального имущества Борисоглебского городского округа Воронежской области на 202</w:t>
      </w:r>
      <w:r w:rsidR="00C91513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C9151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C91513" w:rsidRDefault="006E0DD6" w:rsidP="00B03A6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На первом в 202</w:t>
      </w:r>
      <w:r w:rsidR="00D03253">
        <w:rPr>
          <w:sz w:val="28"/>
          <w:szCs w:val="28"/>
        </w:rPr>
        <w:t>2</w:t>
      </w:r>
      <w:r>
        <w:rPr>
          <w:sz w:val="28"/>
          <w:szCs w:val="28"/>
        </w:rPr>
        <w:t xml:space="preserve"> г. заседании </w:t>
      </w:r>
      <w:r w:rsidR="00B03A66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</w:t>
      </w:r>
      <w:r w:rsidR="00C91513">
        <w:rPr>
          <w:bCs/>
          <w:sz w:val="28"/>
          <w:szCs w:val="28"/>
        </w:rPr>
        <w:t>были рассмотрены вопросы о внесении изменений в «примерные положения об оплате труда в муниципальных общеобразовательных организациях, муниципальных общеобразовательных организациях, реализующих программы</w:t>
      </w:r>
      <w:r w:rsidR="009D6515">
        <w:rPr>
          <w:bCs/>
          <w:sz w:val="28"/>
          <w:szCs w:val="28"/>
        </w:rPr>
        <w:t xml:space="preserve"> дошкольного образования, а  так</w:t>
      </w:r>
      <w:r w:rsidR="00C91513">
        <w:rPr>
          <w:bCs/>
          <w:sz w:val="28"/>
          <w:szCs w:val="28"/>
        </w:rPr>
        <w:t>же было рассмотрено «Примерное положен</w:t>
      </w:r>
      <w:r w:rsidR="00A5350B">
        <w:rPr>
          <w:bCs/>
          <w:sz w:val="28"/>
          <w:szCs w:val="28"/>
        </w:rPr>
        <w:t>ие об оплате труда работников МБУ</w:t>
      </w:r>
      <w:r w:rsidR="00C91513">
        <w:rPr>
          <w:bCs/>
          <w:sz w:val="28"/>
          <w:szCs w:val="28"/>
        </w:rPr>
        <w:t xml:space="preserve"> «Объединенная служба спасения и обеспечения пожарной безопасности».</w:t>
      </w:r>
    </w:p>
    <w:p w:rsidR="00C91513" w:rsidRDefault="00C91513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 связи с протестом Борисоглебской </w:t>
      </w:r>
      <w:proofErr w:type="spellStart"/>
      <w:r>
        <w:rPr>
          <w:bCs/>
          <w:sz w:val="28"/>
          <w:szCs w:val="28"/>
        </w:rPr>
        <w:t>межрайпрокуратуры</w:t>
      </w:r>
      <w:proofErr w:type="spellEnd"/>
      <w:r>
        <w:rPr>
          <w:bCs/>
          <w:sz w:val="28"/>
          <w:szCs w:val="28"/>
        </w:rPr>
        <w:t xml:space="preserve"> на заседании комиссии был рассмотрен вопрос о внесении изменений</w:t>
      </w:r>
      <w:r w:rsidR="009D6515">
        <w:rPr>
          <w:bCs/>
          <w:sz w:val="28"/>
          <w:szCs w:val="28"/>
        </w:rPr>
        <w:t xml:space="preserve"> в Положение </w:t>
      </w:r>
      <w:r>
        <w:rPr>
          <w:bCs/>
          <w:sz w:val="28"/>
          <w:szCs w:val="28"/>
        </w:rPr>
        <w:t xml:space="preserve"> о бюджетном процессе в Борисоглебском городском округе.</w:t>
      </w:r>
    </w:p>
    <w:p w:rsidR="00E21E34" w:rsidRDefault="00C91513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E21E34">
        <w:rPr>
          <w:bCs/>
          <w:sz w:val="28"/>
          <w:szCs w:val="28"/>
        </w:rPr>
        <w:t xml:space="preserve">18 мая 2022 года комиссия приняла решение «О включении муниципального имущества в Перечень муниципального имущества Борисоглебского городского округа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 же </w:t>
      </w:r>
      <w:proofErr w:type="spellStart"/>
      <w:r w:rsidR="00E21E34">
        <w:rPr>
          <w:bCs/>
          <w:sz w:val="28"/>
          <w:szCs w:val="28"/>
        </w:rPr>
        <w:t>самозанятым</w:t>
      </w:r>
      <w:proofErr w:type="spellEnd"/>
      <w:r w:rsidR="00E21E34">
        <w:rPr>
          <w:bCs/>
          <w:sz w:val="28"/>
          <w:szCs w:val="28"/>
        </w:rPr>
        <w:t xml:space="preserve"> гражданам».</w:t>
      </w:r>
      <w:r w:rsidR="00B03A66">
        <w:rPr>
          <w:bCs/>
          <w:sz w:val="28"/>
          <w:szCs w:val="28"/>
        </w:rPr>
        <w:t xml:space="preserve"> </w:t>
      </w:r>
      <w:r w:rsidR="00E21E34">
        <w:rPr>
          <w:bCs/>
          <w:sz w:val="28"/>
          <w:szCs w:val="28"/>
        </w:rPr>
        <w:tab/>
        <w:t xml:space="preserve">Данное решение предусматривает, что </w:t>
      </w:r>
      <w:r w:rsidR="00E21E34">
        <w:rPr>
          <w:bCs/>
          <w:sz w:val="28"/>
          <w:szCs w:val="28"/>
        </w:rPr>
        <w:lastRenderedPageBreak/>
        <w:t>организация, которая победит по итогам конкурса на осуществление пассажирских перевозок, прежде всего в сельские населенные пункты Борисоглебского городского округа, могла иметь право на получение в пользование трех автобусов.</w:t>
      </w:r>
    </w:p>
    <w:p w:rsidR="000733F7" w:rsidRDefault="00E21E34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Несколько раз на комиссиях ра</w:t>
      </w:r>
      <w:r w:rsidR="009D6515">
        <w:rPr>
          <w:bCs/>
          <w:sz w:val="28"/>
          <w:szCs w:val="28"/>
        </w:rPr>
        <w:t>ссматривались вопросы о внесении</w:t>
      </w:r>
      <w:r>
        <w:rPr>
          <w:bCs/>
          <w:sz w:val="28"/>
          <w:szCs w:val="28"/>
        </w:rPr>
        <w:t xml:space="preserve"> изменений в решение Борисоглебской городской Думы от 27.12.2021г. №26»О бюджете Борисоглебского городского округа на 2022 год и на плановый период</w:t>
      </w:r>
      <w:r w:rsidR="009D65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2023 и 2024 годов». Это было связано с тем, что доходная часть увеличивалась за счет безвозмездных поступлений из вышестоящих бюджетов и увеличен</w:t>
      </w:r>
      <w:r w:rsidR="00111785">
        <w:rPr>
          <w:bCs/>
          <w:sz w:val="28"/>
          <w:szCs w:val="28"/>
        </w:rPr>
        <w:t>и</w:t>
      </w:r>
      <w:r w:rsidR="00B03A66">
        <w:rPr>
          <w:bCs/>
          <w:sz w:val="28"/>
          <w:szCs w:val="28"/>
        </w:rPr>
        <w:t>я</w:t>
      </w:r>
      <w:r w:rsidR="00111785">
        <w:rPr>
          <w:bCs/>
          <w:sz w:val="28"/>
          <w:szCs w:val="28"/>
        </w:rPr>
        <w:t xml:space="preserve">  собственных доходов бюджета (доходы от перечисления части прибыли </w:t>
      </w:r>
      <w:proofErr w:type="spellStart"/>
      <w:r w:rsidR="00111785">
        <w:rPr>
          <w:bCs/>
          <w:sz w:val="28"/>
          <w:szCs w:val="28"/>
        </w:rPr>
        <w:t>МУПов</w:t>
      </w:r>
      <w:proofErr w:type="spellEnd"/>
      <w:r w:rsidR="00111785">
        <w:rPr>
          <w:bCs/>
          <w:sz w:val="28"/>
          <w:szCs w:val="28"/>
        </w:rPr>
        <w:t>, до</w:t>
      </w:r>
      <w:r w:rsidR="000733F7">
        <w:rPr>
          <w:bCs/>
          <w:sz w:val="28"/>
          <w:szCs w:val="28"/>
        </w:rPr>
        <w:t>ходов от продажи земельных участков). Соответственно и расходная часть бюджета нашего округа на 2022 год была увеличена.</w:t>
      </w:r>
      <w:r w:rsidR="009D6515">
        <w:rPr>
          <w:bCs/>
          <w:sz w:val="28"/>
          <w:szCs w:val="28"/>
        </w:rPr>
        <w:t xml:space="preserve"> </w:t>
      </w:r>
      <w:r w:rsidR="000733F7">
        <w:rPr>
          <w:bCs/>
          <w:sz w:val="28"/>
          <w:szCs w:val="28"/>
        </w:rPr>
        <w:t xml:space="preserve">Эти дополнительные средства бюджета пошли на развитие дошкольного и общего образования, на ремонт автомобильных дорог, капитальный ремонт </w:t>
      </w:r>
      <w:proofErr w:type="spellStart"/>
      <w:r w:rsidR="000733F7">
        <w:rPr>
          <w:bCs/>
          <w:sz w:val="28"/>
          <w:szCs w:val="28"/>
        </w:rPr>
        <w:t>ЗАГСа</w:t>
      </w:r>
      <w:proofErr w:type="spellEnd"/>
      <w:r w:rsidR="000733F7">
        <w:rPr>
          <w:bCs/>
          <w:sz w:val="28"/>
          <w:szCs w:val="28"/>
        </w:rPr>
        <w:t>, на субсидии для создания инфраструктуры на земельных участках, предназначенных для предоставления семьям, имеющим трех и более детей.</w:t>
      </w:r>
    </w:p>
    <w:p w:rsidR="000733F7" w:rsidRDefault="000733F7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На заседаниях ком</w:t>
      </w:r>
      <w:r w:rsidR="009D6515">
        <w:rPr>
          <w:bCs/>
          <w:sz w:val="28"/>
          <w:szCs w:val="28"/>
        </w:rPr>
        <w:t>иссии рассматривались вопросы о</w:t>
      </w:r>
      <w:r>
        <w:rPr>
          <w:bCs/>
          <w:sz w:val="28"/>
          <w:szCs w:val="28"/>
        </w:rPr>
        <w:t xml:space="preserve">б исполнении бюджета Борисоглебского городского округа за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квартал 2022 года, за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полугодие 20</w:t>
      </w:r>
      <w:r w:rsidR="009D6515">
        <w:rPr>
          <w:bCs/>
          <w:sz w:val="28"/>
          <w:szCs w:val="28"/>
        </w:rPr>
        <w:t>22 года, за 9 месяцев 2022 года</w:t>
      </w:r>
      <w:r>
        <w:rPr>
          <w:bCs/>
          <w:sz w:val="28"/>
          <w:szCs w:val="28"/>
        </w:rPr>
        <w:t>.</w:t>
      </w:r>
    </w:p>
    <w:p w:rsidR="000733F7" w:rsidRDefault="000733F7" w:rsidP="00C91513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A43E4">
        <w:rPr>
          <w:bCs/>
          <w:sz w:val="28"/>
          <w:szCs w:val="28"/>
        </w:rPr>
        <w:t xml:space="preserve">На комиссиях </w:t>
      </w:r>
      <w:r w:rsidR="005A43E4" w:rsidRPr="005A43E4">
        <w:rPr>
          <w:bCs/>
          <w:sz w:val="28"/>
          <w:szCs w:val="28"/>
        </w:rPr>
        <w:t xml:space="preserve">в 2022 году </w:t>
      </w:r>
      <w:r w:rsidRPr="005A43E4">
        <w:rPr>
          <w:bCs/>
          <w:sz w:val="28"/>
          <w:szCs w:val="28"/>
        </w:rPr>
        <w:t>регулярно</w:t>
      </w:r>
      <w:r w:rsidR="005A43E4" w:rsidRPr="005A43E4">
        <w:rPr>
          <w:sz w:val="28"/>
          <w:szCs w:val="28"/>
        </w:rPr>
        <w:t xml:space="preserve"> </w:t>
      </w:r>
      <w:r w:rsidR="005A43E4">
        <w:rPr>
          <w:sz w:val="28"/>
          <w:szCs w:val="28"/>
        </w:rPr>
        <w:t>(по итогам 2021 года и за 9 месяцев 2022 года)</w:t>
      </w:r>
      <w:r w:rsidRPr="005A43E4">
        <w:rPr>
          <w:bCs/>
          <w:sz w:val="28"/>
          <w:szCs w:val="28"/>
        </w:rPr>
        <w:t xml:space="preserve"> рассматривались вопросы об исполнении мун</w:t>
      </w:r>
      <w:r w:rsidR="005A43E4" w:rsidRPr="005A43E4">
        <w:rPr>
          <w:bCs/>
          <w:sz w:val="28"/>
          <w:szCs w:val="28"/>
        </w:rPr>
        <w:t>иципальных программ</w:t>
      </w:r>
      <w:r w:rsidR="005A43E4">
        <w:rPr>
          <w:bCs/>
          <w:sz w:val="28"/>
          <w:szCs w:val="28"/>
        </w:rPr>
        <w:t xml:space="preserve"> </w:t>
      </w:r>
      <w:r w:rsidR="005A43E4" w:rsidRPr="005A43E4">
        <w:rPr>
          <w:sz w:val="28"/>
          <w:szCs w:val="28"/>
        </w:rPr>
        <w:t>«Управление муниципальными финансами»</w:t>
      </w:r>
      <w:r w:rsidR="005A43E4">
        <w:rPr>
          <w:sz w:val="28"/>
          <w:szCs w:val="28"/>
        </w:rPr>
        <w:t>,</w:t>
      </w:r>
      <w:r w:rsidR="005A43E4" w:rsidRPr="005A43E4">
        <w:rPr>
          <w:sz w:val="28"/>
          <w:szCs w:val="28"/>
        </w:rPr>
        <w:t xml:space="preserve"> «Экономическое разв</w:t>
      </w:r>
      <w:r w:rsidR="005A43E4">
        <w:rPr>
          <w:sz w:val="28"/>
          <w:szCs w:val="28"/>
        </w:rPr>
        <w:t xml:space="preserve">итие и инновационная экономика», </w:t>
      </w:r>
      <w:r w:rsidR="005A43E4" w:rsidRPr="005A43E4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  <w:r w:rsidR="005A43E4">
        <w:rPr>
          <w:sz w:val="28"/>
          <w:szCs w:val="28"/>
        </w:rPr>
        <w:t>»</w:t>
      </w:r>
      <w:r w:rsidR="005A43E4" w:rsidRPr="005A43E4">
        <w:rPr>
          <w:sz w:val="28"/>
          <w:szCs w:val="28"/>
        </w:rPr>
        <w:t>.</w:t>
      </w:r>
    </w:p>
    <w:p w:rsidR="006E0DD6" w:rsidRDefault="006E0DD6" w:rsidP="006E0DD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5A43E4">
        <w:rPr>
          <w:bCs/>
          <w:sz w:val="28"/>
          <w:szCs w:val="28"/>
        </w:rPr>
        <w:t xml:space="preserve">На заключительном заседании </w:t>
      </w:r>
      <w:r w:rsidR="00B03A66" w:rsidRPr="005A43E4">
        <w:rPr>
          <w:bCs/>
          <w:sz w:val="28"/>
          <w:szCs w:val="28"/>
        </w:rPr>
        <w:t>к</w:t>
      </w:r>
      <w:r w:rsidRPr="005A43E4">
        <w:rPr>
          <w:bCs/>
          <w:sz w:val="28"/>
          <w:szCs w:val="28"/>
        </w:rPr>
        <w:t xml:space="preserve">омиссии </w:t>
      </w:r>
      <w:r w:rsidR="005A43E4" w:rsidRPr="005A43E4">
        <w:rPr>
          <w:bCs/>
          <w:sz w:val="28"/>
          <w:szCs w:val="28"/>
        </w:rPr>
        <w:t xml:space="preserve">были </w:t>
      </w:r>
      <w:proofErr w:type="gramStart"/>
      <w:r w:rsidR="005A43E4" w:rsidRPr="005A43E4">
        <w:rPr>
          <w:bCs/>
          <w:sz w:val="28"/>
          <w:szCs w:val="28"/>
        </w:rPr>
        <w:t>обсуждены и рекомендованы</w:t>
      </w:r>
      <w:proofErr w:type="gramEnd"/>
      <w:r w:rsidR="005A43E4" w:rsidRPr="005A43E4">
        <w:rPr>
          <w:bCs/>
          <w:sz w:val="28"/>
          <w:szCs w:val="28"/>
        </w:rPr>
        <w:t xml:space="preserve"> к утверждению на очередном заседании сессии </w:t>
      </w:r>
      <w:r w:rsidRPr="005A43E4">
        <w:rPr>
          <w:bCs/>
          <w:sz w:val="28"/>
          <w:szCs w:val="28"/>
        </w:rPr>
        <w:t xml:space="preserve"> проекты решений:</w:t>
      </w:r>
      <w:r w:rsidRPr="005A43E4">
        <w:rPr>
          <w:sz w:val="28"/>
          <w:szCs w:val="28"/>
        </w:rPr>
        <w:t xml:space="preserve"> </w:t>
      </w:r>
      <w:proofErr w:type="gramStart"/>
      <w:r w:rsidRPr="005A43E4">
        <w:rPr>
          <w:sz w:val="28"/>
          <w:szCs w:val="28"/>
        </w:rPr>
        <w:t>«</w:t>
      </w:r>
      <w:r w:rsidRPr="005A43E4">
        <w:rPr>
          <w:color w:val="000000"/>
          <w:spacing w:val="-3"/>
          <w:sz w:val="28"/>
          <w:szCs w:val="28"/>
        </w:rPr>
        <w:t>О бюджете Борисоглебского городского округа Воронежской области на 202</w:t>
      </w:r>
      <w:r w:rsidR="00D03253" w:rsidRPr="005A43E4">
        <w:rPr>
          <w:color w:val="000000"/>
          <w:spacing w:val="-3"/>
          <w:sz w:val="28"/>
          <w:szCs w:val="28"/>
        </w:rPr>
        <w:t>3</w:t>
      </w:r>
      <w:r w:rsidRPr="005A43E4">
        <w:rPr>
          <w:color w:val="000000"/>
          <w:spacing w:val="-3"/>
          <w:sz w:val="28"/>
          <w:szCs w:val="28"/>
        </w:rPr>
        <w:t xml:space="preserve"> год и на плановый период 202</w:t>
      </w:r>
      <w:r w:rsidR="00D03253" w:rsidRPr="005A43E4">
        <w:rPr>
          <w:color w:val="000000"/>
          <w:spacing w:val="-3"/>
          <w:sz w:val="28"/>
          <w:szCs w:val="28"/>
        </w:rPr>
        <w:t>4</w:t>
      </w:r>
      <w:r w:rsidRPr="005A43E4">
        <w:rPr>
          <w:color w:val="000000"/>
          <w:spacing w:val="-3"/>
          <w:sz w:val="28"/>
          <w:szCs w:val="28"/>
        </w:rPr>
        <w:t xml:space="preserve"> и 202</w:t>
      </w:r>
      <w:r w:rsidR="00D03253" w:rsidRPr="005A43E4">
        <w:rPr>
          <w:color w:val="000000"/>
          <w:spacing w:val="-3"/>
          <w:sz w:val="28"/>
          <w:szCs w:val="28"/>
        </w:rPr>
        <w:t>5</w:t>
      </w:r>
      <w:r w:rsidRPr="005A43E4">
        <w:rPr>
          <w:color w:val="000000"/>
          <w:spacing w:val="-3"/>
          <w:sz w:val="28"/>
          <w:szCs w:val="28"/>
        </w:rPr>
        <w:t xml:space="preserve"> годов»</w:t>
      </w:r>
      <w:r w:rsidRPr="005A43E4">
        <w:rPr>
          <w:sz w:val="28"/>
          <w:szCs w:val="28"/>
        </w:rPr>
        <w:t xml:space="preserve">, </w:t>
      </w:r>
      <w:r w:rsidR="005A43E4" w:rsidRPr="005A43E4">
        <w:rPr>
          <w:sz w:val="28"/>
          <w:szCs w:val="28"/>
        </w:rPr>
        <w:t xml:space="preserve">«О внесении изменений в решение Борисоглебской городской Думы Борисоглебского городского округа Воронежской области от 27.12.2021 г. № 26 «О бюджете Борисоглебского городского округа Воронежской области на 2022 год и на плановый период 2023 и 2024 годов»», </w:t>
      </w:r>
      <w:r w:rsidRPr="005A43E4">
        <w:rPr>
          <w:sz w:val="28"/>
          <w:szCs w:val="28"/>
        </w:rPr>
        <w:t>«</w:t>
      </w:r>
      <w:r w:rsidRPr="005A43E4">
        <w:rPr>
          <w:color w:val="000000"/>
          <w:spacing w:val="-3"/>
          <w:sz w:val="28"/>
          <w:szCs w:val="28"/>
        </w:rPr>
        <w:t>Об утверждении Программы приватизации муниципального имущества Борисоглебского</w:t>
      </w:r>
      <w:proofErr w:type="gramEnd"/>
      <w:r w:rsidRPr="005A43E4">
        <w:rPr>
          <w:color w:val="000000"/>
          <w:spacing w:val="-3"/>
          <w:sz w:val="28"/>
          <w:szCs w:val="28"/>
        </w:rPr>
        <w:t xml:space="preserve"> городского округа Воронежской области на 202</w:t>
      </w:r>
      <w:r w:rsidR="005A43E4" w:rsidRPr="005A43E4">
        <w:rPr>
          <w:color w:val="000000"/>
          <w:spacing w:val="-3"/>
          <w:sz w:val="28"/>
          <w:szCs w:val="28"/>
        </w:rPr>
        <w:t>3</w:t>
      </w:r>
      <w:r w:rsidRPr="005A43E4">
        <w:rPr>
          <w:color w:val="000000"/>
          <w:spacing w:val="-3"/>
          <w:sz w:val="28"/>
          <w:szCs w:val="28"/>
        </w:rPr>
        <w:t xml:space="preserve"> год</w:t>
      </w:r>
      <w:r w:rsidRPr="005A43E4">
        <w:rPr>
          <w:sz w:val="28"/>
          <w:szCs w:val="28"/>
        </w:rPr>
        <w:t>»</w:t>
      </w:r>
      <w:r w:rsidR="00B03A66" w:rsidRPr="005A43E4">
        <w:rPr>
          <w:sz w:val="28"/>
          <w:szCs w:val="28"/>
        </w:rPr>
        <w:t>.</w:t>
      </w:r>
      <w:r w:rsidRPr="005A43E4">
        <w:rPr>
          <w:sz w:val="28"/>
          <w:szCs w:val="28"/>
        </w:rPr>
        <w:t xml:space="preserve"> </w:t>
      </w:r>
      <w:r w:rsidR="005A43E4" w:rsidRPr="005A43E4">
        <w:rPr>
          <w:sz w:val="28"/>
          <w:szCs w:val="28"/>
        </w:rPr>
        <w:t>Также</w:t>
      </w:r>
      <w:r w:rsidR="005A43E4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твержден Отчет  постоянной комиссии Борисоглебской городской Думы по вопросам экономического развития и финансово-бюджетной политике о выполнении своих полномочий за 202</w:t>
      </w:r>
      <w:r w:rsidR="00204488">
        <w:rPr>
          <w:sz w:val="28"/>
          <w:szCs w:val="28"/>
        </w:rPr>
        <w:t>2</w:t>
      </w:r>
      <w:r w:rsidR="005A43E4">
        <w:rPr>
          <w:sz w:val="28"/>
          <w:szCs w:val="28"/>
        </w:rPr>
        <w:t xml:space="preserve"> год, </w:t>
      </w:r>
      <w:proofErr w:type="gramStart"/>
      <w:r w:rsidR="005A43E4">
        <w:rPr>
          <w:sz w:val="28"/>
          <w:szCs w:val="28"/>
        </w:rPr>
        <w:t>рассмотрена и поддержана</w:t>
      </w:r>
      <w:proofErr w:type="gramEnd"/>
      <w:r w:rsidR="005A43E4">
        <w:rPr>
          <w:sz w:val="28"/>
          <w:szCs w:val="28"/>
        </w:rPr>
        <w:t xml:space="preserve"> кандидатура на присвоение  в 2023 году звания «Почетный гражданин Борисоглебского городского округа».</w:t>
      </w:r>
    </w:p>
    <w:p w:rsidR="006E0DD6" w:rsidRDefault="006E0DD6" w:rsidP="006E0DD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Члены постоянной комиссии  по вопросам экономического развития и финансово-бюджетной политике принимали активное участие во всех общегородских мероприятиях. Все запланированные мероприятия и заседания комиссией были осуществлены. Срывов в проведении заседаний за 202</w:t>
      </w:r>
      <w:r w:rsidR="00204488">
        <w:rPr>
          <w:sz w:val="28"/>
          <w:szCs w:val="28"/>
        </w:rPr>
        <w:t>2</w:t>
      </w:r>
      <w:r>
        <w:rPr>
          <w:sz w:val="28"/>
          <w:szCs w:val="28"/>
        </w:rPr>
        <w:t xml:space="preserve"> год не было. </w:t>
      </w:r>
    </w:p>
    <w:p w:rsidR="006E0DD6" w:rsidRDefault="006E0DD6" w:rsidP="00783EC9">
      <w:pPr>
        <w:rPr>
          <w:sz w:val="28"/>
          <w:szCs w:val="28"/>
        </w:rPr>
      </w:pPr>
    </w:p>
    <w:p w:rsidR="006E0DD6" w:rsidRDefault="006E0DD6" w:rsidP="006E0DD6">
      <w:pPr>
        <w:jc w:val="center"/>
        <w:rPr>
          <w:sz w:val="28"/>
          <w:szCs w:val="28"/>
        </w:rPr>
      </w:pPr>
      <w:bookmarkStart w:id="0" w:name="_GoBack"/>
      <w:bookmarkEnd w:id="0"/>
    </w:p>
    <w:sectPr w:rsidR="006E0DD6" w:rsidSect="00AF5D4B">
      <w:footerReference w:type="even" r:id="rId10"/>
      <w:footerReference w:type="default" r:id="rId11"/>
      <w:pgSz w:w="11906" w:h="16838"/>
      <w:pgMar w:top="53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8D" w:rsidRDefault="00AF528D">
      <w:r>
        <w:separator/>
      </w:r>
    </w:p>
  </w:endnote>
  <w:endnote w:type="continuationSeparator" w:id="0">
    <w:p w:rsidR="00AF528D" w:rsidRDefault="00AF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1548">
      <w:rPr>
        <w:rStyle w:val="a7"/>
        <w:noProof/>
      </w:rPr>
      <w:t>5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8D" w:rsidRDefault="00AF528D">
      <w:r>
        <w:separator/>
      </w:r>
    </w:p>
  </w:footnote>
  <w:footnote w:type="continuationSeparator" w:id="0">
    <w:p w:rsidR="00AF528D" w:rsidRDefault="00AF5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548"/>
    <w:rsid w:val="0003186F"/>
    <w:rsid w:val="00031D44"/>
    <w:rsid w:val="00033E66"/>
    <w:rsid w:val="000350BA"/>
    <w:rsid w:val="00041A51"/>
    <w:rsid w:val="00044BD3"/>
    <w:rsid w:val="00051C21"/>
    <w:rsid w:val="00057E41"/>
    <w:rsid w:val="00065B8E"/>
    <w:rsid w:val="00067FA2"/>
    <w:rsid w:val="000733F7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1B8E"/>
    <w:rsid w:val="000C25C6"/>
    <w:rsid w:val="000D2A21"/>
    <w:rsid w:val="000F4F52"/>
    <w:rsid w:val="000F56A7"/>
    <w:rsid w:val="000F5FA4"/>
    <w:rsid w:val="001003DA"/>
    <w:rsid w:val="0010276D"/>
    <w:rsid w:val="00105E42"/>
    <w:rsid w:val="00105F47"/>
    <w:rsid w:val="0011105F"/>
    <w:rsid w:val="00111785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95153"/>
    <w:rsid w:val="001A0E3E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488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81902"/>
    <w:rsid w:val="0028364D"/>
    <w:rsid w:val="00284744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2873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80B49"/>
    <w:rsid w:val="00386B0F"/>
    <w:rsid w:val="00387935"/>
    <w:rsid w:val="00394CEF"/>
    <w:rsid w:val="00396F31"/>
    <w:rsid w:val="003A0531"/>
    <w:rsid w:val="003A212C"/>
    <w:rsid w:val="003A5C57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319"/>
    <w:rsid w:val="003E299F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0E6F"/>
    <w:rsid w:val="00444CC8"/>
    <w:rsid w:val="004451DA"/>
    <w:rsid w:val="00450A90"/>
    <w:rsid w:val="00451323"/>
    <w:rsid w:val="00451B91"/>
    <w:rsid w:val="00452AE6"/>
    <w:rsid w:val="00457D49"/>
    <w:rsid w:val="00457F41"/>
    <w:rsid w:val="004606B5"/>
    <w:rsid w:val="00460E7C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1F9E"/>
    <w:rsid w:val="004A6D36"/>
    <w:rsid w:val="004A7820"/>
    <w:rsid w:val="004B1089"/>
    <w:rsid w:val="004B1B9D"/>
    <w:rsid w:val="004B7984"/>
    <w:rsid w:val="004C06BC"/>
    <w:rsid w:val="004C1847"/>
    <w:rsid w:val="004C3960"/>
    <w:rsid w:val="004D12B6"/>
    <w:rsid w:val="004D2E96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4733F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43E4"/>
    <w:rsid w:val="005A55AD"/>
    <w:rsid w:val="005B3F56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583"/>
    <w:rsid w:val="00611FB5"/>
    <w:rsid w:val="00612DA9"/>
    <w:rsid w:val="0061578D"/>
    <w:rsid w:val="00624BCA"/>
    <w:rsid w:val="00625773"/>
    <w:rsid w:val="00625D0F"/>
    <w:rsid w:val="0062671A"/>
    <w:rsid w:val="00627D42"/>
    <w:rsid w:val="00635F58"/>
    <w:rsid w:val="00636DF7"/>
    <w:rsid w:val="00642908"/>
    <w:rsid w:val="006510C7"/>
    <w:rsid w:val="00651CB8"/>
    <w:rsid w:val="00653491"/>
    <w:rsid w:val="00657D31"/>
    <w:rsid w:val="006617F4"/>
    <w:rsid w:val="00666020"/>
    <w:rsid w:val="006674E7"/>
    <w:rsid w:val="00667A4F"/>
    <w:rsid w:val="006726C8"/>
    <w:rsid w:val="00673C27"/>
    <w:rsid w:val="00682D25"/>
    <w:rsid w:val="006910AD"/>
    <w:rsid w:val="00691EA8"/>
    <w:rsid w:val="006A072C"/>
    <w:rsid w:val="006A1590"/>
    <w:rsid w:val="006A29AF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5881"/>
    <w:rsid w:val="006D606E"/>
    <w:rsid w:val="006E0DD6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10AC"/>
    <w:rsid w:val="007149D2"/>
    <w:rsid w:val="00735B52"/>
    <w:rsid w:val="00736AF6"/>
    <w:rsid w:val="00741026"/>
    <w:rsid w:val="00741C2A"/>
    <w:rsid w:val="0074357A"/>
    <w:rsid w:val="007459C4"/>
    <w:rsid w:val="007466D7"/>
    <w:rsid w:val="00746786"/>
    <w:rsid w:val="00751CAD"/>
    <w:rsid w:val="00767D4B"/>
    <w:rsid w:val="00770495"/>
    <w:rsid w:val="00770E5E"/>
    <w:rsid w:val="007744F1"/>
    <w:rsid w:val="00783523"/>
    <w:rsid w:val="00783EC9"/>
    <w:rsid w:val="007920A1"/>
    <w:rsid w:val="007A50F8"/>
    <w:rsid w:val="007A6256"/>
    <w:rsid w:val="007B1600"/>
    <w:rsid w:val="007B1A93"/>
    <w:rsid w:val="007B68E5"/>
    <w:rsid w:val="007D3093"/>
    <w:rsid w:val="007D34AA"/>
    <w:rsid w:val="007D36E2"/>
    <w:rsid w:val="007D58CC"/>
    <w:rsid w:val="007D6BA4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3356"/>
    <w:rsid w:val="00836953"/>
    <w:rsid w:val="00844483"/>
    <w:rsid w:val="00846590"/>
    <w:rsid w:val="008468A7"/>
    <w:rsid w:val="00850755"/>
    <w:rsid w:val="00850FAC"/>
    <w:rsid w:val="00851A38"/>
    <w:rsid w:val="00853129"/>
    <w:rsid w:val="00854A4C"/>
    <w:rsid w:val="0086494F"/>
    <w:rsid w:val="00865489"/>
    <w:rsid w:val="00877D56"/>
    <w:rsid w:val="00883B30"/>
    <w:rsid w:val="00884897"/>
    <w:rsid w:val="00885A33"/>
    <w:rsid w:val="00890DB4"/>
    <w:rsid w:val="008925E5"/>
    <w:rsid w:val="008933EA"/>
    <w:rsid w:val="00895217"/>
    <w:rsid w:val="00895D5B"/>
    <w:rsid w:val="008A7CEC"/>
    <w:rsid w:val="008B27DC"/>
    <w:rsid w:val="008B2B3A"/>
    <w:rsid w:val="008B4DF0"/>
    <w:rsid w:val="008B6388"/>
    <w:rsid w:val="008C115D"/>
    <w:rsid w:val="008D0931"/>
    <w:rsid w:val="008D3570"/>
    <w:rsid w:val="008D6D32"/>
    <w:rsid w:val="008E04B0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27B56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A2778"/>
    <w:rsid w:val="009A5820"/>
    <w:rsid w:val="009A6F7B"/>
    <w:rsid w:val="009B05E8"/>
    <w:rsid w:val="009D6515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350B"/>
    <w:rsid w:val="00A54FB2"/>
    <w:rsid w:val="00A55F57"/>
    <w:rsid w:val="00A6158D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0545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8D"/>
    <w:rsid w:val="00AF52F2"/>
    <w:rsid w:val="00AF5D4B"/>
    <w:rsid w:val="00B03A66"/>
    <w:rsid w:val="00B0479E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2FB5"/>
    <w:rsid w:val="00B7481B"/>
    <w:rsid w:val="00B91A07"/>
    <w:rsid w:val="00B92CE9"/>
    <w:rsid w:val="00B94CE9"/>
    <w:rsid w:val="00B95AE2"/>
    <w:rsid w:val="00BA7181"/>
    <w:rsid w:val="00BB0E6B"/>
    <w:rsid w:val="00BB132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178BC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513"/>
    <w:rsid w:val="00C916AF"/>
    <w:rsid w:val="00C92978"/>
    <w:rsid w:val="00C93E4D"/>
    <w:rsid w:val="00C97FB7"/>
    <w:rsid w:val="00CA2293"/>
    <w:rsid w:val="00CA256D"/>
    <w:rsid w:val="00CA6C34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C29DA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03253"/>
    <w:rsid w:val="00D111D8"/>
    <w:rsid w:val="00D174DC"/>
    <w:rsid w:val="00D17F66"/>
    <w:rsid w:val="00D207CE"/>
    <w:rsid w:val="00D26844"/>
    <w:rsid w:val="00D27285"/>
    <w:rsid w:val="00D3081F"/>
    <w:rsid w:val="00D34C73"/>
    <w:rsid w:val="00D41185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27FE"/>
    <w:rsid w:val="00D67468"/>
    <w:rsid w:val="00D72C0E"/>
    <w:rsid w:val="00D7648A"/>
    <w:rsid w:val="00D76FD5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B0A58"/>
    <w:rsid w:val="00DB5391"/>
    <w:rsid w:val="00DC0CBE"/>
    <w:rsid w:val="00DC29F8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DF7CDA"/>
    <w:rsid w:val="00E0252C"/>
    <w:rsid w:val="00E06814"/>
    <w:rsid w:val="00E12FCF"/>
    <w:rsid w:val="00E16C6D"/>
    <w:rsid w:val="00E16D95"/>
    <w:rsid w:val="00E1776D"/>
    <w:rsid w:val="00E2081B"/>
    <w:rsid w:val="00E21E34"/>
    <w:rsid w:val="00E27B26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E17"/>
    <w:rsid w:val="00F537EA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6B0E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1DFEF-E891-41BB-9B63-602D6CF2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14</cp:revision>
  <cp:lastPrinted>2022-12-16T05:36:00Z</cp:lastPrinted>
  <dcterms:created xsi:type="dcterms:W3CDTF">2022-12-02T07:07:00Z</dcterms:created>
  <dcterms:modified xsi:type="dcterms:W3CDTF">2022-12-23T09:29:00Z</dcterms:modified>
</cp:coreProperties>
</file>