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30" w:rsidRPr="003F6830" w:rsidRDefault="003F6830" w:rsidP="003F6830">
      <w:pPr>
        <w:shd w:val="clear" w:color="auto" w:fill="FFFFFF"/>
        <w:spacing w:after="100" w:afterAutospacing="1" w:line="240" w:lineRule="auto"/>
        <w:jc w:val="center"/>
        <w:rPr>
          <w:rFonts w:ascii="OpenSansRegular" w:eastAsia="Times New Roman" w:hAnsi="OpenSansRegular" w:cs="Times New Roman"/>
          <w:sz w:val="28"/>
          <w:szCs w:val="28"/>
          <w:lang w:eastAsia="ru-RU"/>
        </w:rPr>
      </w:pPr>
      <w:r w:rsidRPr="003F6830">
        <w:rPr>
          <w:rFonts w:ascii="OpenSansRegular" w:eastAsia="Times New Roman" w:hAnsi="OpenSansRegular" w:cs="Times New Roman"/>
          <w:b/>
          <w:bCs/>
          <w:sz w:val="28"/>
          <w:szCs w:val="28"/>
          <w:lang w:eastAsia="ru-RU"/>
        </w:rPr>
        <w:t>Антикоррупционная экспертиза</w:t>
      </w:r>
    </w:p>
    <w:p w:rsidR="003F6830" w:rsidRPr="003F6830" w:rsidRDefault="003F6830" w:rsidP="003F6830">
      <w:pPr>
        <w:shd w:val="clear" w:color="auto" w:fill="FFFFFF"/>
        <w:spacing w:after="100" w:afterAutospacing="1" w:line="240" w:lineRule="auto"/>
        <w:ind w:firstLine="708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В соответствии с Федеральным законом</w:t>
      </w:r>
      <w:bookmarkStart w:id="0" w:name="_GoBack"/>
      <w:bookmarkEnd w:id="0"/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от 17.07.2009 № 172-ФЗ «Об антикоррупционной экспертизе нормативных правовых актов и проектов нормативных правовых актов»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F6830" w:rsidRPr="003F6830" w:rsidRDefault="003F6830" w:rsidP="003F6830">
      <w:pPr>
        <w:shd w:val="clear" w:color="auto" w:fill="FFFFFF"/>
        <w:spacing w:after="100" w:afterAutospacing="1" w:line="240" w:lineRule="auto"/>
        <w:ind w:firstLine="360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Основными принципами организации антикоррупционной экспертизы нормативных правовых актов (проектов нормативных правовых актов) являются:</w:t>
      </w:r>
    </w:p>
    <w:p w:rsidR="003F6830" w:rsidRPr="003F6830" w:rsidRDefault="003F6830" w:rsidP="003F6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обязательность проведения антикоррупционной экспертизы проектов нормативных правовых актов;</w:t>
      </w:r>
    </w:p>
    <w:p w:rsidR="003F6830" w:rsidRPr="003F6830" w:rsidRDefault="003F6830" w:rsidP="003F6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оценка нормативного правового акта во взаимосвязи с другими нормативными правовыми актами;</w:t>
      </w:r>
    </w:p>
    <w:p w:rsidR="003F6830" w:rsidRPr="003F6830" w:rsidRDefault="003F6830" w:rsidP="003F6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обоснованность, объективность и </w:t>
      </w:r>
      <w:proofErr w:type="spellStart"/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проверяемость</w:t>
      </w:r>
      <w:proofErr w:type="spellEnd"/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3F6830" w:rsidRPr="003F6830" w:rsidRDefault="003F6830" w:rsidP="003F6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F6830" w:rsidRPr="003F6830" w:rsidRDefault="003F6830" w:rsidP="003F6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</w:t>
      </w:r>
      <w:r w:rsidRPr="00F8531D">
        <w:rPr>
          <w:rFonts w:ascii="OpenSansRegular" w:eastAsia="Times New Roman" w:hAnsi="OpenSansRegular" w:cs="Times New Roman" w:hint="eastAsia"/>
          <w:sz w:val="27"/>
          <w:szCs w:val="27"/>
          <w:lang w:eastAsia="ru-RU"/>
        </w:rPr>
        <w:t>–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F6830" w:rsidRPr="003F6830" w:rsidRDefault="003F6830" w:rsidP="003F6830">
      <w:pPr>
        <w:shd w:val="clear" w:color="auto" w:fill="FFFFFF"/>
        <w:spacing w:after="100" w:afterAutospacing="1" w:line="240" w:lineRule="auto"/>
        <w:ind w:firstLine="360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proofErr w:type="gramStart"/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Согласно п. 11 ч. 1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 11 ч.1 ст. 2 Закона Воронежской области от 05.01.1996 № 39-з «О Контрольно-счетной палате Воронежской области»  Контрольно-счетная палата Воронежской области участвует в пределах полномочий в мероприятиях, направленных на противодействие коррупции.</w:t>
      </w:r>
      <w:proofErr w:type="gramEnd"/>
    </w:p>
    <w:p w:rsidR="003F6830" w:rsidRPr="003F6830" w:rsidRDefault="003F6830" w:rsidP="003F6830">
      <w:pPr>
        <w:shd w:val="clear" w:color="auto" w:fill="FFFFFF"/>
        <w:spacing w:after="100" w:afterAutospacing="1" w:line="240" w:lineRule="auto"/>
        <w:ind w:firstLine="360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Контрольно-счетная палата проводит экспертизу и дает заключения:</w:t>
      </w:r>
    </w:p>
    <w:p w:rsidR="003F6830" w:rsidRPr="003F6830" w:rsidRDefault="003F6830" w:rsidP="003F6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по вопросам </w:t>
      </w:r>
      <w:proofErr w:type="gramStart"/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эффективности использования средств бюджета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Борисоглебского городского округа</w:t>
      </w:r>
      <w:proofErr w:type="gramEnd"/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и иных ресурсов;</w:t>
      </w:r>
    </w:p>
    <w:p w:rsidR="003F6830" w:rsidRPr="003F6830" w:rsidRDefault="003F6830" w:rsidP="003F6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по вопросам бюджетного процесса в 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Борисоглебско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м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городско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м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округ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е 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и совершенствования бюджетного законодательства 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Борисоглебско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го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городско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го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округ</w:t>
      </w:r>
      <w:r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а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;</w:t>
      </w:r>
    </w:p>
    <w:p w:rsidR="003F6830" w:rsidRPr="003F6830" w:rsidRDefault="003F6830" w:rsidP="003F6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на проекты </w:t>
      </w:r>
      <w:r w:rsidR="00E27673"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решений Борисоглебской городской Думы Борисоглебского городского округа о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бюджете</w:t>
      </w:r>
      <w:r w:rsidR="00E27673"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 </w:t>
      </w:r>
      <w:r w:rsidR="00E27673" w:rsidRPr="00F8531D">
        <w:rPr>
          <w:rFonts w:ascii="OpenSansRegular" w:eastAsia="Times New Roman" w:hAnsi="OpenSansRegular" w:cs="Times New Roman"/>
          <w:sz w:val="27"/>
          <w:szCs w:val="27"/>
          <w:lang w:eastAsia="ru-RU"/>
        </w:rPr>
        <w:t>Борисоглебского городского округа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;</w:t>
      </w:r>
    </w:p>
    <w:p w:rsidR="003F310A" w:rsidRPr="00F8531D" w:rsidRDefault="003F6830" w:rsidP="00E276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SansRegular" w:eastAsia="Times New Roman" w:hAnsi="OpenSansRegular" w:cs="Times New Roman"/>
          <w:sz w:val="27"/>
          <w:szCs w:val="27"/>
          <w:lang w:eastAsia="ru-RU"/>
        </w:rPr>
      </w:pP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 xml:space="preserve">по </w:t>
      </w:r>
      <w:r w:rsidR="008463A1" w:rsidRPr="00F8531D">
        <w:rPr>
          <w:rFonts w:ascii="Times New Roman" w:hAnsi="Times New Roman" w:cs="Times New Roman"/>
          <w:sz w:val="27"/>
          <w:szCs w:val="27"/>
        </w:rPr>
        <w:t>муниципальны</w:t>
      </w:r>
      <w:r w:rsidR="008463A1" w:rsidRPr="00F8531D">
        <w:rPr>
          <w:rFonts w:ascii="Times New Roman" w:hAnsi="Times New Roman" w:cs="Times New Roman"/>
          <w:sz w:val="27"/>
          <w:szCs w:val="27"/>
        </w:rPr>
        <w:t>м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 правовы</w:t>
      </w:r>
      <w:r w:rsidR="008463A1" w:rsidRPr="00F8531D">
        <w:rPr>
          <w:rFonts w:ascii="Times New Roman" w:hAnsi="Times New Roman" w:cs="Times New Roman"/>
          <w:sz w:val="27"/>
          <w:szCs w:val="27"/>
        </w:rPr>
        <w:t>м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 акт</w:t>
      </w:r>
      <w:r w:rsidR="008463A1" w:rsidRPr="00F8531D">
        <w:rPr>
          <w:rFonts w:ascii="Times New Roman" w:hAnsi="Times New Roman" w:cs="Times New Roman"/>
          <w:sz w:val="27"/>
          <w:szCs w:val="27"/>
        </w:rPr>
        <w:t>ам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 в части, касающейся расходных обязательств городского округа, 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а также по 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ам </w:t>
      </w:r>
      <w:r w:rsidR="008463A1" w:rsidRPr="00F8531D">
        <w:rPr>
          <w:rFonts w:ascii="Times New Roman" w:hAnsi="Times New Roman" w:cs="Times New Roman"/>
          <w:sz w:val="27"/>
          <w:szCs w:val="27"/>
        </w:rPr>
        <w:t>муниципальных правовых актов, приводящи</w:t>
      </w:r>
      <w:r w:rsidR="008463A1" w:rsidRPr="00F8531D">
        <w:rPr>
          <w:rFonts w:ascii="Times New Roman" w:hAnsi="Times New Roman" w:cs="Times New Roman"/>
          <w:sz w:val="27"/>
          <w:szCs w:val="27"/>
        </w:rPr>
        <w:t>м</w:t>
      </w:r>
      <w:r w:rsidR="008463A1" w:rsidRPr="00F8531D">
        <w:rPr>
          <w:rFonts w:ascii="Times New Roman" w:hAnsi="Times New Roman" w:cs="Times New Roman"/>
          <w:sz w:val="27"/>
          <w:szCs w:val="27"/>
        </w:rPr>
        <w:t xml:space="preserve"> к изменению доходов бюджета городского округа, а также муниципальных программ (проектов муниципальных программ)</w:t>
      </w:r>
      <w:r w:rsidRPr="003F6830">
        <w:rPr>
          <w:rFonts w:ascii="OpenSansRegular" w:eastAsia="Times New Roman" w:hAnsi="OpenSansRegular" w:cs="Times New Roman"/>
          <w:sz w:val="27"/>
          <w:szCs w:val="27"/>
          <w:lang w:eastAsia="ru-RU"/>
        </w:rPr>
        <w:t>.</w:t>
      </w:r>
    </w:p>
    <w:sectPr w:rsidR="003F310A" w:rsidRPr="00F8531D" w:rsidSect="003F683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6BC1"/>
    <w:multiLevelType w:val="multilevel"/>
    <w:tmpl w:val="28E0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30732"/>
    <w:multiLevelType w:val="multilevel"/>
    <w:tmpl w:val="827A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6D"/>
    <w:rsid w:val="000C4D7D"/>
    <w:rsid w:val="000D22CA"/>
    <w:rsid w:val="00104EF5"/>
    <w:rsid w:val="00196A07"/>
    <w:rsid w:val="001F3C4F"/>
    <w:rsid w:val="002764C2"/>
    <w:rsid w:val="00277E6D"/>
    <w:rsid w:val="00304DD9"/>
    <w:rsid w:val="003C2FB4"/>
    <w:rsid w:val="003F310A"/>
    <w:rsid w:val="003F6830"/>
    <w:rsid w:val="004A69C2"/>
    <w:rsid w:val="004D65A5"/>
    <w:rsid w:val="004E63C7"/>
    <w:rsid w:val="00601FCC"/>
    <w:rsid w:val="00641DB7"/>
    <w:rsid w:val="007C12F3"/>
    <w:rsid w:val="008463A1"/>
    <w:rsid w:val="008E3E20"/>
    <w:rsid w:val="009C1B74"/>
    <w:rsid w:val="009C4DA1"/>
    <w:rsid w:val="009D0B0A"/>
    <w:rsid w:val="009E78E6"/>
    <w:rsid w:val="00AC440E"/>
    <w:rsid w:val="00B2108E"/>
    <w:rsid w:val="00B22AFF"/>
    <w:rsid w:val="00B34717"/>
    <w:rsid w:val="00BE736C"/>
    <w:rsid w:val="00BE7685"/>
    <w:rsid w:val="00D07684"/>
    <w:rsid w:val="00D12256"/>
    <w:rsid w:val="00D21C92"/>
    <w:rsid w:val="00D92097"/>
    <w:rsid w:val="00E02779"/>
    <w:rsid w:val="00E1267B"/>
    <w:rsid w:val="00E206E9"/>
    <w:rsid w:val="00E27673"/>
    <w:rsid w:val="00E81123"/>
    <w:rsid w:val="00F1699A"/>
    <w:rsid w:val="00F535E4"/>
    <w:rsid w:val="00F8531D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Клавдия Ивановна</dc:creator>
  <cp:keywords/>
  <dc:description/>
  <cp:lastModifiedBy>Безуглая Клавдия Ивановна</cp:lastModifiedBy>
  <cp:revision>6</cp:revision>
  <dcterms:created xsi:type="dcterms:W3CDTF">2023-07-24T08:21:00Z</dcterms:created>
  <dcterms:modified xsi:type="dcterms:W3CDTF">2023-07-24T08:27:00Z</dcterms:modified>
</cp:coreProperties>
</file>