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13" w:rsidRDefault="00396E13" w:rsidP="007F1D1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Приложение</w:t>
      </w:r>
    </w:p>
    <w:p w:rsidR="00396E13" w:rsidRDefault="00396E13" w:rsidP="007F1D1E">
      <w:pPr>
        <w:ind w:left="2832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к Докладу</w:t>
      </w:r>
    </w:p>
    <w:p w:rsidR="00396E13" w:rsidRDefault="00396E13" w:rsidP="007F1D1E">
      <w:pPr>
        <w:ind w:left="2832" w:firstLine="708"/>
        <w:jc w:val="right"/>
        <w:rPr>
          <w:b/>
          <w:sz w:val="26"/>
          <w:szCs w:val="26"/>
        </w:rPr>
      </w:pPr>
    </w:p>
    <w:p w:rsidR="00396E13" w:rsidRDefault="00396E13" w:rsidP="00396E13">
      <w:pPr>
        <w:ind w:left="2832" w:firstLine="708"/>
        <w:jc w:val="center"/>
        <w:rPr>
          <w:b/>
          <w:sz w:val="26"/>
          <w:szCs w:val="26"/>
        </w:rPr>
      </w:pPr>
    </w:p>
    <w:p w:rsidR="00396E13" w:rsidRDefault="00396E13" w:rsidP="00396E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ЗНАЧЕНИЙ</w:t>
      </w:r>
    </w:p>
    <w:p w:rsidR="00396E13" w:rsidRDefault="00396E13" w:rsidP="00396E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КЛЮЧЕВЫХ ПОКАЗАТЕЛЕЙ ЭФФЕКТИВНОСТИ </w:t>
      </w:r>
      <w:proofErr w:type="gramStart"/>
      <w:r>
        <w:rPr>
          <w:b/>
          <w:sz w:val="26"/>
          <w:szCs w:val="26"/>
        </w:rPr>
        <w:t>АНТИМОНОПОЛЬНОГО</w:t>
      </w:r>
      <w:proofErr w:type="gramEnd"/>
      <w:r>
        <w:rPr>
          <w:b/>
          <w:sz w:val="26"/>
          <w:szCs w:val="26"/>
        </w:rPr>
        <w:t xml:space="preserve"> КОМПЛАЕНСА</w:t>
      </w:r>
    </w:p>
    <w:p w:rsidR="00396E13" w:rsidRDefault="00396E13" w:rsidP="00396E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2023 год</w:t>
      </w:r>
    </w:p>
    <w:p w:rsidR="00396E13" w:rsidRDefault="00396E13" w:rsidP="00396E13">
      <w:pPr>
        <w:jc w:val="center"/>
        <w:rPr>
          <w:b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Ключевыми показателями эффективности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для администрации Борисоглебского городского округа Воронежской области в целом являются:</w:t>
      </w:r>
    </w:p>
    <w:p w:rsidR="00396E13" w:rsidRDefault="00396E13" w:rsidP="00396E13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коэффициент снижения количества нарушений антимонопольного законодательства со стороны администрации городского округа за последние три года;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городского округа;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коэффициент эффективности выявления нарушений антимонопольного законодательства в нормативных правовых актах администрации городского округа.</w:t>
      </w:r>
    </w:p>
    <w:p w:rsidR="00396E13" w:rsidRDefault="00396E13" w:rsidP="00396E13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Коэффициент снижения количества нарушений антимонопольного законодательства </w:t>
      </w:r>
      <w:r>
        <w:rPr>
          <w:sz w:val="26"/>
          <w:szCs w:val="26"/>
        </w:rPr>
        <w:t>со стороны администрации Борисоглебского городского округа Воронежской области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за последние три года</w:t>
      </w:r>
      <w:r>
        <w:rPr>
          <w:bCs/>
          <w:sz w:val="26"/>
          <w:szCs w:val="26"/>
        </w:rPr>
        <w:t xml:space="preserve"> рассчитывается по формуле: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24777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КСН - коэффициент снижения количества нарушений антимонопольного законодательства со стороны администрации городского округа;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КНП - количество нарушений антимонопольного законодательства со стороны администрации городского округа, допущенных в отчетном периоде три года ранее;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КНоп</w:t>
      </w:r>
      <w:proofErr w:type="spellEnd"/>
      <w:r>
        <w:rPr>
          <w:sz w:val="26"/>
          <w:szCs w:val="26"/>
        </w:rPr>
        <w:t xml:space="preserve"> - количество нарушений антимонопольного законодательства со стороны администрации городского округа в отчетном периоде, за который рассчитывается ключевой показатель.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целей расчета под отчетным периодом понимается календарный год.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396E13" w:rsidRDefault="00396E13" w:rsidP="00396E13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При расчете </w:t>
      </w:r>
      <w:proofErr w:type="gramStart"/>
      <w:r>
        <w:rPr>
          <w:bCs/>
          <w:sz w:val="26"/>
          <w:szCs w:val="26"/>
        </w:rPr>
        <w:t>коэффициента снижения количества нарушений антимонопольного законодательства</w:t>
      </w:r>
      <w:proofErr w:type="gramEnd"/>
      <w:r>
        <w:rPr>
          <w:bCs/>
          <w:sz w:val="26"/>
          <w:szCs w:val="26"/>
        </w:rPr>
        <w:t xml:space="preserve"> под нарушением антимонопольного законодательства со стороны </w:t>
      </w:r>
      <w:r>
        <w:rPr>
          <w:sz w:val="26"/>
          <w:szCs w:val="26"/>
        </w:rPr>
        <w:t>администрации Борисоглебского городского округа Воронежской области</w:t>
      </w:r>
      <w:r>
        <w:rPr>
          <w:bCs/>
          <w:sz w:val="26"/>
          <w:szCs w:val="26"/>
        </w:rPr>
        <w:t xml:space="preserve"> понимаются: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решения по делу о нарушении антимонопольного законодательства, принятые антимонопольным органом;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КСН =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>КНП 2020</w:t>
      </w:r>
      <w:r>
        <w:rPr>
          <w:bCs/>
          <w:sz w:val="26"/>
          <w:szCs w:val="26"/>
        </w:rPr>
        <w:t xml:space="preserve">=  </w:t>
      </w:r>
      <w:r>
        <w:rPr>
          <w:bCs/>
          <w:sz w:val="26"/>
          <w:szCs w:val="26"/>
          <w:u w:val="single"/>
        </w:rPr>
        <w:t>1</w:t>
      </w:r>
      <w:r>
        <w:rPr>
          <w:bCs/>
          <w:sz w:val="26"/>
          <w:szCs w:val="26"/>
        </w:rPr>
        <w:t xml:space="preserve">=0,5      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факт 2023     КН 2023        2         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Борисоглебского городского округа Воронежской области рассчитывается по формуле: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533525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Кэпнпа</w:t>
      </w:r>
      <w:proofErr w:type="spellEnd"/>
      <w:r>
        <w:rPr>
          <w:sz w:val="26"/>
          <w:szCs w:val="26"/>
        </w:rPr>
        <w:t xml:space="preserve"> - 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городского округа;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Кпнпа</w:t>
      </w:r>
      <w:proofErr w:type="spellEnd"/>
      <w:r>
        <w:rPr>
          <w:sz w:val="26"/>
          <w:szCs w:val="26"/>
        </w:rPr>
        <w:t xml:space="preserve"> - количество проектов нормативных правовых актов администрации городского округа, в которых данным органом выявлены риски нарушения антимонопольного законодательства (в отчетном периоде);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Кноп - количество проектов нормативных правовых актов администрации городского округа,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за отчетный период в проектах актов антимонопольным органом или администрацией городского округа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Кэпнпа</w:t>
      </w:r>
      <w:proofErr w:type="spellEnd"/>
      <w:r>
        <w:rPr>
          <w:bCs/>
          <w:sz w:val="26"/>
          <w:szCs w:val="26"/>
        </w:rPr>
        <w:t xml:space="preserve"> = </w:t>
      </w:r>
      <w:proofErr w:type="spellStart"/>
      <w:r>
        <w:rPr>
          <w:bCs/>
          <w:sz w:val="26"/>
          <w:szCs w:val="26"/>
          <w:u w:val="single"/>
        </w:rPr>
        <w:t>Кпнпа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= </w:t>
      </w:r>
      <w:r>
        <w:rPr>
          <w:bCs/>
          <w:sz w:val="26"/>
          <w:szCs w:val="26"/>
          <w:u w:val="single"/>
        </w:rPr>
        <w:t>0,1</w:t>
      </w:r>
      <w:r>
        <w:rPr>
          <w:bCs/>
          <w:sz w:val="26"/>
          <w:szCs w:val="26"/>
        </w:rPr>
        <w:t xml:space="preserve"> = 1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2023          Кноп     0,1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Коэффициент эффективности выявления нарушений антимонопольного законодательства в нормативных правовых актах администрации Борисоглебского городского округа Воронежской области рассчитывается по формуле: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371600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Кэнпа</w:t>
      </w:r>
      <w:proofErr w:type="spellEnd"/>
      <w:r>
        <w:rPr>
          <w:sz w:val="26"/>
          <w:szCs w:val="26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 городского округа;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Кнпа</w:t>
      </w:r>
      <w:proofErr w:type="spellEnd"/>
      <w:r>
        <w:rPr>
          <w:sz w:val="26"/>
          <w:szCs w:val="26"/>
        </w:rPr>
        <w:t xml:space="preserve"> - количество нормативных правовых актов администрации городского округа, в которых данным органом выявлены риски нарушения антимонопольного законодательства (в отчетном периоде);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КНоп</w:t>
      </w:r>
      <w:proofErr w:type="spellEnd"/>
      <w:r>
        <w:rPr>
          <w:sz w:val="26"/>
          <w:szCs w:val="26"/>
        </w:rPr>
        <w:t xml:space="preserve"> - количество нормативных правовых актов администрации городского округа, в которых антимонопольным органом выявлены нарушения антимонопольного законодательства (в отчетном периоде).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администрацией городского округа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396E13" w:rsidRDefault="00396E13" w:rsidP="00396E1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Кэнпа</w:t>
      </w:r>
      <w:proofErr w:type="spellEnd"/>
      <w:r>
        <w:rPr>
          <w:bCs/>
          <w:sz w:val="26"/>
          <w:szCs w:val="26"/>
        </w:rPr>
        <w:t xml:space="preserve"> =    </w:t>
      </w:r>
      <w:proofErr w:type="spellStart"/>
      <w:r>
        <w:rPr>
          <w:bCs/>
          <w:sz w:val="26"/>
          <w:szCs w:val="26"/>
          <w:u w:val="single"/>
        </w:rPr>
        <w:t>Кнпа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= </w:t>
      </w:r>
      <w:r>
        <w:rPr>
          <w:bCs/>
          <w:sz w:val="26"/>
          <w:szCs w:val="26"/>
          <w:u w:val="single"/>
        </w:rPr>
        <w:t>0,1</w:t>
      </w:r>
      <w:r>
        <w:rPr>
          <w:bCs/>
          <w:sz w:val="26"/>
          <w:szCs w:val="26"/>
        </w:rPr>
        <w:t xml:space="preserve"> = 1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2023          Коп      0,1</w:t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Ключевым показателем эффективности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для уполномоченного подразделения является:</w:t>
      </w:r>
    </w:p>
    <w:p w:rsidR="00396E13" w:rsidRDefault="00396E13" w:rsidP="00396E13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доля сотрудников уполномоченного подразделения,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6"/>
          <w:szCs w:val="26"/>
        </w:rPr>
        <w:t>комплаенсу</w:t>
      </w:r>
      <w:proofErr w:type="spellEnd"/>
      <w:r>
        <w:rPr>
          <w:sz w:val="26"/>
          <w:szCs w:val="26"/>
        </w:rPr>
        <w:t>.</w:t>
      </w:r>
    </w:p>
    <w:p w:rsidR="00396E13" w:rsidRDefault="00396E13" w:rsidP="00396E13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 совещания-семинары по антимонопольному законодательству,  ознакомление с </w:t>
      </w:r>
      <w:proofErr w:type="gramStart"/>
      <w:r>
        <w:rPr>
          <w:sz w:val="26"/>
          <w:szCs w:val="26"/>
        </w:rPr>
        <w:t>антимонопольным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комплаенсом</w:t>
      </w:r>
      <w:proofErr w:type="spellEnd"/>
      <w:r>
        <w:rPr>
          <w:sz w:val="26"/>
          <w:szCs w:val="26"/>
        </w:rPr>
        <w:t>, первичные инструктажи в 2023 году - 100%  (доля сотрудников).</w:t>
      </w:r>
    </w:p>
    <w:p w:rsidR="00396E13" w:rsidRDefault="00396E13" w:rsidP="00396E13">
      <w:pPr>
        <w:rPr>
          <w:sz w:val="26"/>
          <w:szCs w:val="26"/>
        </w:rPr>
      </w:pP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96E13" w:rsidRDefault="00396E13" w:rsidP="00396E13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396E13" w:rsidRDefault="00396E13" w:rsidP="00396E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А.В.Пищугин</w:t>
      </w:r>
    </w:p>
    <w:p w:rsidR="00396E13" w:rsidRDefault="00396E13" w:rsidP="00396E13">
      <w:pPr>
        <w:jc w:val="both"/>
        <w:rPr>
          <w:sz w:val="26"/>
          <w:szCs w:val="26"/>
        </w:rPr>
      </w:pPr>
    </w:p>
    <w:p w:rsidR="00396E13" w:rsidRDefault="00396E13" w:rsidP="00396E13">
      <w:pPr>
        <w:jc w:val="both"/>
        <w:rPr>
          <w:sz w:val="26"/>
          <w:szCs w:val="26"/>
        </w:rPr>
      </w:pPr>
    </w:p>
    <w:p w:rsidR="00396E13" w:rsidRDefault="00396E13" w:rsidP="00396E13">
      <w:pPr>
        <w:jc w:val="center"/>
        <w:rPr>
          <w:b/>
          <w:sz w:val="26"/>
          <w:szCs w:val="26"/>
        </w:rPr>
      </w:pPr>
    </w:p>
    <w:p w:rsidR="00396E13" w:rsidRDefault="00396E13" w:rsidP="00396E13">
      <w:pPr>
        <w:jc w:val="center"/>
        <w:rPr>
          <w:b/>
          <w:sz w:val="26"/>
          <w:szCs w:val="26"/>
        </w:rPr>
      </w:pPr>
    </w:p>
    <w:p w:rsidR="00396E13" w:rsidRDefault="00396E13" w:rsidP="00396E1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Бохонок</w:t>
      </w:r>
      <w:proofErr w:type="spellEnd"/>
      <w:r>
        <w:rPr>
          <w:sz w:val="20"/>
          <w:szCs w:val="20"/>
        </w:rPr>
        <w:t xml:space="preserve"> Екатерина Анатольевна</w:t>
      </w:r>
    </w:p>
    <w:p w:rsidR="00396E13" w:rsidRDefault="00396E13" w:rsidP="00396E13">
      <w:pPr>
        <w:jc w:val="both"/>
        <w:rPr>
          <w:sz w:val="20"/>
          <w:szCs w:val="20"/>
        </w:rPr>
      </w:pPr>
      <w:r>
        <w:rPr>
          <w:sz w:val="20"/>
          <w:szCs w:val="20"/>
        </w:rPr>
        <w:t>8 (47354) 6-15-09</w:t>
      </w:r>
    </w:p>
    <w:p w:rsidR="00396E13" w:rsidRDefault="00396E13" w:rsidP="00396E13">
      <w:pPr>
        <w:jc w:val="both"/>
        <w:rPr>
          <w:b/>
          <w:sz w:val="26"/>
          <w:szCs w:val="26"/>
        </w:rPr>
      </w:pPr>
    </w:p>
    <w:p w:rsidR="00E26F80" w:rsidRDefault="00E26F80" w:rsidP="00396E13"/>
    <w:sectPr w:rsidR="00E26F80" w:rsidSect="00396E13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13"/>
    <w:rsid w:val="00396E13"/>
    <w:rsid w:val="007F1D1E"/>
    <w:rsid w:val="00DF2CBE"/>
    <w:rsid w:val="00E2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Елена С. Ликк</cp:lastModifiedBy>
  <cp:revision>3</cp:revision>
  <dcterms:created xsi:type="dcterms:W3CDTF">2024-01-30T05:39:00Z</dcterms:created>
  <dcterms:modified xsi:type="dcterms:W3CDTF">2024-01-30T05:48:00Z</dcterms:modified>
</cp:coreProperties>
</file>