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0F" w:rsidRPr="000A0BC8" w:rsidRDefault="000A0BC8" w:rsidP="000A0BC8">
      <w:pPr>
        <w:tabs>
          <w:tab w:val="left" w:pos="7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A0BC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A2713">
        <w:rPr>
          <w:rFonts w:ascii="Times New Roman" w:hAnsi="Times New Roman"/>
          <w:sz w:val="28"/>
          <w:szCs w:val="28"/>
        </w:rPr>
        <w:t xml:space="preserve">              </w:t>
      </w:r>
      <w:r w:rsidR="00B4098B">
        <w:rPr>
          <w:rFonts w:ascii="Times New Roman" w:hAnsi="Times New Roman"/>
          <w:sz w:val="28"/>
          <w:szCs w:val="28"/>
        </w:rPr>
        <w:t>УТВЕРЖДЕН</w:t>
      </w:r>
    </w:p>
    <w:p w:rsidR="003A5B0F" w:rsidRPr="000A0BC8" w:rsidRDefault="000A0BC8" w:rsidP="000A0BC8">
      <w:pPr>
        <w:tabs>
          <w:tab w:val="left" w:pos="7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A0BC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A2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77942">
        <w:rPr>
          <w:rFonts w:ascii="Times New Roman" w:hAnsi="Times New Roman"/>
          <w:sz w:val="28"/>
          <w:szCs w:val="28"/>
        </w:rPr>
        <w:t>постановлением</w:t>
      </w:r>
      <w:r w:rsidR="003A5B0F" w:rsidRPr="000A0BC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A5B0F" w:rsidRPr="000A0BC8" w:rsidRDefault="000A0BC8" w:rsidP="000A0BC8">
      <w:pPr>
        <w:tabs>
          <w:tab w:val="left" w:pos="7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A0BC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A0BC8">
        <w:rPr>
          <w:rFonts w:ascii="Times New Roman" w:hAnsi="Times New Roman"/>
          <w:sz w:val="28"/>
          <w:szCs w:val="28"/>
        </w:rPr>
        <w:t xml:space="preserve"> </w:t>
      </w:r>
      <w:r w:rsidR="003A5B0F" w:rsidRPr="000A0BC8">
        <w:rPr>
          <w:rFonts w:ascii="Times New Roman" w:hAnsi="Times New Roman"/>
          <w:sz w:val="28"/>
          <w:szCs w:val="28"/>
        </w:rPr>
        <w:t>Борисоглебского городского округа</w:t>
      </w:r>
    </w:p>
    <w:p w:rsidR="003A5B0F" w:rsidRPr="000A0BC8" w:rsidRDefault="000A0BC8" w:rsidP="000A0BC8">
      <w:pPr>
        <w:tabs>
          <w:tab w:val="left" w:pos="70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3A5B0F" w:rsidRPr="000A0BC8">
        <w:rPr>
          <w:rFonts w:ascii="Times New Roman" w:hAnsi="Times New Roman"/>
          <w:sz w:val="28"/>
          <w:szCs w:val="28"/>
        </w:rPr>
        <w:t>Воронежской области</w:t>
      </w:r>
    </w:p>
    <w:p w:rsidR="003A5B0F" w:rsidRPr="00122B3B" w:rsidRDefault="003A5B0F" w:rsidP="00122B3B">
      <w:pPr>
        <w:pStyle w:val="2"/>
        <w:jc w:val="center"/>
        <w:rPr>
          <w:szCs w:val="28"/>
        </w:rPr>
      </w:pPr>
      <w:r w:rsidRPr="000A0BC8">
        <w:rPr>
          <w:szCs w:val="28"/>
        </w:rPr>
        <w:t xml:space="preserve">                                                                    </w:t>
      </w:r>
      <w:r w:rsidR="00DB468D" w:rsidRPr="000A0BC8">
        <w:rPr>
          <w:szCs w:val="28"/>
        </w:rPr>
        <w:t xml:space="preserve">      </w:t>
      </w:r>
      <w:r w:rsidR="00AF70FC">
        <w:rPr>
          <w:szCs w:val="28"/>
        </w:rPr>
        <w:t xml:space="preserve"> </w:t>
      </w:r>
      <w:r w:rsidR="00DB468D" w:rsidRPr="000A0BC8">
        <w:rPr>
          <w:szCs w:val="28"/>
        </w:rPr>
        <w:t xml:space="preserve">     </w:t>
      </w:r>
      <w:r w:rsidR="00892BB5">
        <w:rPr>
          <w:szCs w:val="28"/>
        </w:rPr>
        <w:t>о</w:t>
      </w:r>
      <w:r w:rsidRPr="000A0BC8">
        <w:rPr>
          <w:szCs w:val="28"/>
        </w:rPr>
        <w:t>т</w:t>
      </w:r>
      <w:r w:rsidR="00892BB5">
        <w:rPr>
          <w:szCs w:val="28"/>
        </w:rPr>
        <w:t xml:space="preserve"> </w:t>
      </w:r>
      <w:r w:rsidR="00892BB5" w:rsidRPr="00892BB5">
        <w:rPr>
          <w:szCs w:val="28"/>
          <w:u w:val="single"/>
        </w:rPr>
        <w:t>04.03.2025</w:t>
      </w:r>
      <w:r w:rsidR="00016758">
        <w:rPr>
          <w:szCs w:val="28"/>
          <w:u w:val="single"/>
        </w:rPr>
        <w:t xml:space="preserve"> </w:t>
      </w:r>
      <w:bookmarkStart w:id="0" w:name="_GoBack"/>
      <w:bookmarkEnd w:id="0"/>
      <w:r w:rsidR="00C41A8D">
        <w:rPr>
          <w:szCs w:val="28"/>
        </w:rPr>
        <w:t>№</w:t>
      </w:r>
      <w:r w:rsidR="00D26DD4">
        <w:rPr>
          <w:szCs w:val="28"/>
        </w:rPr>
        <w:t xml:space="preserve"> </w:t>
      </w:r>
      <w:r w:rsidR="00892BB5" w:rsidRPr="00892BB5">
        <w:rPr>
          <w:szCs w:val="28"/>
          <w:u w:val="single"/>
        </w:rPr>
        <w:t>531</w:t>
      </w:r>
    </w:p>
    <w:p w:rsidR="00966540" w:rsidRDefault="00966540" w:rsidP="00711E00">
      <w:pPr>
        <w:tabs>
          <w:tab w:val="left" w:pos="31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1A72" w:rsidRDefault="00FA2845" w:rsidP="00711E00">
      <w:pPr>
        <w:tabs>
          <w:tab w:val="left" w:pos="31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A535A6">
        <w:rPr>
          <w:rFonts w:ascii="Times New Roman" w:hAnsi="Times New Roman"/>
          <w:b/>
          <w:sz w:val="28"/>
          <w:szCs w:val="28"/>
        </w:rPr>
        <w:t>СКЛАДИРОВАНИЯ</w:t>
      </w:r>
      <w:r w:rsidR="00DD1543">
        <w:rPr>
          <w:rFonts w:ascii="Times New Roman" w:hAnsi="Times New Roman"/>
          <w:b/>
          <w:sz w:val="28"/>
          <w:szCs w:val="28"/>
        </w:rPr>
        <w:t xml:space="preserve"> МУСОРА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240BA">
        <w:rPr>
          <w:rFonts w:ascii="Times New Roman" w:hAnsi="Times New Roman"/>
          <w:b/>
          <w:sz w:val="28"/>
          <w:szCs w:val="28"/>
        </w:rPr>
        <w:t xml:space="preserve">В </w:t>
      </w:r>
      <w:r w:rsidR="00B1416A">
        <w:rPr>
          <w:rFonts w:ascii="Times New Roman" w:hAnsi="Times New Roman"/>
          <w:b/>
          <w:sz w:val="28"/>
          <w:szCs w:val="28"/>
        </w:rPr>
        <w:tab/>
      </w:r>
      <w:r w:rsidR="001B781F">
        <w:rPr>
          <w:rFonts w:ascii="Times New Roman" w:hAnsi="Times New Roman"/>
          <w:b/>
          <w:sz w:val="28"/>
          <w:szCs w:val="28"/>
        </w:rPr>
        <w:t>ВЕСЕННИЙ</w:t>
      </w:r>
      <w:r w:rsidR="00A535A6">
        <w:rPr>
          <w:rFonts w:ascii="Times New Roman" w:hAnsi="Times New Roman"/>
          <w:b/>
          <w:sz w:val="28"/>
          <w:szCs w:val="28"/>
        </w:rPr>
        <w:t xml:space="preserve"> </w:t>
      </w:r>
      <w:r w:rsidR="00CC5CD0">
        <w:rPr>
          <w:rFonts w:ascii="Times New Roman" w:hAnsi="Times New Roman"/>
          <w:b/>
          <w:sz w:val="28"/>
          <w:szCs w:val="28"/>
        </w:rPr>
        <w:t>ПЕРИОД ПРОВЕДЕНИЯ МЕСЯЧНИКА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656"/>
        <w:gridCol w:w="3260"/>
      </w:tblGrid>
      <w:tr w:rsidR="0067137B" w:rsidRPr="00966540" w:rsidTr="00966540">
        <w:trPr>
          <w:trHeight w:val="683"/>
        </w:trPr>
        <w:tc>
          <w:tcPr>
            <w:tcW w:w="540" w:type="dxa"/>
          </w:tcPr>
          <w:p w:rsidR="0067137B" w:rsidRPr="00966540" w:rsidRDefault="0067137B" w:rsidP="00B12E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656" w:type="dxa"/>
          </w:tcPr>
          <w:p w:rsidR="0067137B" w:rsidRPr="00966540" w:rsidRDefault="0067137B" w:rsidP="007E6754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="001968C2">
              <w:rPr>
                <w:rFonts w:ascii="Times New Roman" w:hAnsi="Times New Roman"/>
                <w:sz w:val="20"/>
                <w:szCs w:val="20"/>
              </w:rPr>
              <w:t>склад</w:t>
            </w:r>
            <w:r w:rsidR="007E6754">
              <w:rPr>
                <w:rFonts w:ascii="Times New Roman" w:hAnsi="Times New Roman"/>
                <w:sz w:val="20"/>
                <w:szCs w:val="20"/>
              </w:rPr>
              <w:t>и</w:t>
            </w:r>
            <w:r w:rsidR="001968C2">
              <w:rPr>
                <w:rFonts w:ascii="Times New Roman" w:hAnsi="Times New Roman"/>
                <w:sz w:val="20"/>
                <w:szCs w:val="20"/>
              </w:rPr>
              <w:t>ровани</w:t>
            </w:r>
            <w:r w:rsidR="007E6754">
              <w:rPr>
                <w:rFonts w:ascii="Times New Roman" w:hAnsi="Times New Roman"/>
                <w:sz w:val="20"/>
                <w:szCs w:val="20"/>
              </w:rPr>
              <w:t>я</w:t>
            </w:r>
            <w:r w:rsidRPr="00966540">
              <w:rPr>
                <w:rFonts w:ascii="Times New Roman" w:hAnsi="Times New Roman"/>
                <w:sz w:val="20"/>
                <w:szCs w:val="20"/>
              </w:rPr>
              <w:t xml:space="preserve"> листвы, ботвы, веток от уборки приусадебных участков и внутри дворовых территорий</w:t>
            </w:r>
          </w:p>
        </w:tc>
        <w:tc>
          <w:tcPr>
            <w:tcW w:w="3260" w:type="dxa"/>
            <w:shd w:val="clear" w:color="auto" w:fill="FFFFFF" w:themeFill="background1"/>
          </w:tcPr>
          <w:p w:rsidR="0067137B" w:rsidRPr="00966540" w:rsidRDefault="0067137B" w:rsidP="00A535A6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sz w:val="20"/>
                <w:szCs w:val="20"/>
              </w:rPr>
              <w:t xml:space="preserve">График </w:t>
            </w:r>
            <w:r w:rsidR="00A535A6">
              <w:rPr>
                <w:rFonts w:ascii="Times New Roman" w:hAnsi="Times New Roman"/>
                <w:sz w:val="20"/>
                <w:szCs w:val="20"/>
              </w:rPr>
              <w:t>складирования</w:t>
            </w:r>
          </w:p>
        </w:tc>
      </w:tr>
      <w:tr w:rsidR="0067137B" w:rsidRPr="00966540" w:rsidTr="00966540">
        <w:trPr>
          <w:trHeight w:val="1999"/>
        </w:trPr>
        <w:tc>
          <w:tcPr>
            <w:tcW w:w="540" w:type="dxa"/>
            <w:shd w:val="clear" w:color="auto" w:fill="FFFFFF" w:themeFill="background1"/>
          </w:tcPr>
          <w:p w:rsidR="0067137B" w:rsidRPr="00966540" w:rsidRDefault="0067137B" w:rsidP="00B12E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56" w:type="dxa"/>
            <w:shd w:val="clear" w:color="auto" w:fill="FFFFFF" w:themeFill="background1"/>
          </w:tcPr>
          <w:p w:rsidR="00966540" w:rsidRPr="00966540" w:rsidRDefault="00FA6E0E" w:rsidP="00966540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Участок от </w:t>
            </w:r>
            <w:proofErr w:type="spellStart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ул.Матросовская</w:t>
            </w:r>
            <w:proofErr w:type="spellEnd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до </w:t>
            </w:r>
            <w:proofErr w:type="spellStart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ул.Сельскохозяйственная</w:t>
            </w:r>
            <w:proofErr w:type="spellEnd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67137B" w:rsidRPr="00966540" w:rsidRDefault="00583530" w:rsidP="00966540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Пригородная, ул. Солдатская, ул. 2-я Солдатская, ул. Мира, </w:t>
            </w:r>
            <w:r w:rsidR="001B78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Пушкинская, ул. Лермонтова, ул. Трусова, ул. Ломоносова, </w:t>
            </w:r>
            <w:r w:rsidR="001B78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Верхореченская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Комарова, ул. Баумана, ул. Плеханова, </w:t>
            </w:r>
            <w:r w:rsidR="001B78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Сельскохозяйственная, ул. Солнечная, ул. Назарова, ул. Московская, ул. Добролюбова, ул. Пионерская, ул. Полярная, ул. 7-го Ноября, </w:t>
            </w:r>
            <w:r w:rsidR="001B78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Чапаева,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Подлесная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ул.Кутузова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ул.Загородная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Балашовская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, ул. Новая, ул.Саратовская, ул.Совхозная, ул.Зелёная</w:t>
            </w:r>
          </w:p>
        </w:tc>
        <w:tc>
          <w:tcPr>
            <w:tcW w:w="3260" w:type="dxa"/>
            <w:shd w:val="clear" w:color="auto" w:fill="FFFFFF" w:themeFill="background1"/>
          </w:tcPr>
          <w:p w:rsidR="00AF70FC" w:rsidRPr="00966540" w:rsidRDefault="00A535A6" w:rsidP="001B78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B781F">
              <w:rPr>
                <w:rFonts w:ascii="Times New Roman" w:hAnsi="Times New Roman"/>
                <w:sz w:val="20"/>
                <w:szCs w:val="20"/>
              </w:rPr>
              <w:t>14.04.2025</w:t>
            </w:r>
            <w:r w:rsidR="00AF70FC" w:rsidRPr="009665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2D63">
              <w:rPr>
                <w:rFonts w:ascii="Times New Roman" w:hAnsi="Times New Roman"/>
                <w:sz w:val="20"/>
                <w:szCs w:val="20"/>
              </w:rPr>
              <w:t>включительно</w:t>
            </w:r>
          </w:p>
        </w:tc>
      </w:tr>
      <w:tr w:rsidR="004F7009" w:rsidRPr="00A535A6" w:rsidTr="00966540">
        <w:trPr>
          <w:trHeight w:val="1830"/>
        </w:trPr>
        <w:tc>
          <w:tcPr>
            <w:tcW w:w="540" w:type="dxa"/>
            <w:shd w:val="clear" w:color="auto" w:fill="FFFFFF" w:themeFill="background1"/>
          </w:tcPr>
          <w:p w:rsidR="004F7009" w:rsidRPr="00966540" w:rsidRDefault="004F7009" w:rsidP="00B12E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56" w:type="dxa"/>
            <w:shd w:val="clear" w:color="auto" w:fill="FFFFFF" w:themeFill="background1"/>
          </w:tcPr>
          <w:p w:rsidR="00FA6E0E" w:rsidRPr="00966540" w:rsidRDefault="00FA6E0E" w:rsidP="00B12E16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Участок от </w:t>
            </w:r>
            <w:proofErr w:type="spellStart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ул.Матросовская</w:t>
            </w:r>
            <w:proofErr w:type="spellEnd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до </w:t>
            </w:r>
            <w:proofErr w:type="spellStart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ул.Северная</w:t>
            </w:r>
            <w:proofErr w:type="spellEnd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:rsidR="004F7009" w:rsidRPr="00966540" w:rsidRDefault="004F7009" w:rsidP="00B12E16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Октябрьская, ул. Школьная, ул. Менделеева, ул. </w:t>
            </w:r>
            <w:proofErr w:type="gram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Воронежская,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Суворова, ул. 7-го Ноября, ул. Шевченко, ул. Северная, ул. Павлова, ул. Свободы, ул. Королева, ул. Урицкого, ул. Ленинская,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Матросовский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Дубровинская, ул. Белинского, ул. Садовая,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Набережная, пер. Депутатский,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-д. Набережный,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-д. Речной,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К.Маркса,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Матросовская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пер.Городской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ул.Бланская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, пер. Герцена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4F7009" w:rsidRPr="00966540" w:rsidRDefault="00A535A6" w:rsidP="001B781F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B781F">
              <w:rPr>
                <w:rFonts w:ascii="Times New Roman" w:hAnsi="Times New Roman"/>
                <w:sz w:val="20"/>
                <w:szCs w:val="20"/>
              </w:rPr>
              <w:t>18.04.2025</w:t>
            </w:r>
            <w:r w:rsidR="001A1DB1">
              <w:rPr>
                <w:rFonts w:ascii="Times New Roman" w:hAnsi="Times New Roman"/>
                <w:sz w:val="20"/>
                <w:szCs w:val="20"/>
              </w:rPr>
              <w:t xml:space="preserve"> включительно</w:t>
            </w:r>
          </w:p>
        </w:tc>
      </w:tr>
      <w:tr w:rsidR="004624B1" w:rsidRPr="00A535A6" w:rsidTr="004624B1">
        <w:trPr>
          <w:trHeight w:val="1309"/>
        </w:trPr>
        <w:tc>
          <w:tcPr>
            <w:tcW w:w="540" w:type="dxa"/>
            <w:shd w:val="clear" w:color="auto" w:fill="FFFFFF" w:themeFill="background1"/>
          </w:tcPr>
          <w:p w:rsidR="004624B1" w:rsidRPr="00966540" w:rsidRDefault="004624B1" w:rsidP="00B12E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56" w:type="dxa"/>
            <w:shd w:val="clear" w:color="auto" w:fill="FFFFFF" w:themeFill="background1"/>
          </w:tcPr>
          <w:p w:rsidR="004624B1" w:rsidRPr="00966540" w:rsidRDefault="004624B1" w:rsidP="00B12E16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ул.Коммунальная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Дзержинского, ул.217 Стрелковой Дивизии.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Дорожная, ул. Лазоревая,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пер.Лазоревый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Уютная. ул. Просторная.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ул.Каштановая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Рассветная, ул. Прохладная, пер. Тенистый,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 Цветочная, ул. Надежды, ул. Росистая, ул. Березовая, ул. Раздольная, ул. Радужная, ул. Объездная</w:t>
            </w:r>
          </w:p>
        </w:tc>
        <w:tc>
          <w:tcPr>
            <w:tcW w:w="3260" w:type="dxa"/>
            <w:shd w:val="clear" w:color="auto" w:fill="FFFFFF" w:themeFill="background1"/>
          </w:tcPr>
          <w:p w:rsidR="004624B1" w:rsidRDefault="00D522F8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23.04.2025 включительно</w:t>
            </w:r>
          </w:p>
        </w:tc>
      </w:tr>
      <w:tr w:rsidR="00B1416A" w:rsidRPr="00A535A6" w:rsidTr="00966540">
        <w:trPr>
          <w:trHeight w:val="1830"/>
        </w:trPr>
        <w:tc>
          <w:tcPr>
            <w:tcW w:w="540" w:type="dxa"/>
            <w:shd w:val="clear" w:color="auto" w:fill="FFFFFF" w:themeFill="background1"/>
          </w:tcPr>
          <w:p w:rsidR="00B1416A" w:rsidRPr="00966540" w:rsidRDefault="00D522F8" w:rsidP="00B12E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56" w:type="dxa"/>
            <w:shd w:val="clear" w:color="auto" w:fill="FFFFFF" w:themeFill="background1"/>
          </w:tcPr>
          <w:p w:rsidR="00B1416A" w:rsidRPr="00966540" w:rsidRDefault="00B1416A" w:rsidP="00F55A47">
            <w:pPr>
              <w:tabs>
                <w:tab w:val="left" w:pos="1200"/>
              </w:tabs>
              <w:spacing w:after="0" w:line="20" w:lineRule="atLeast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Участок от </w:t>
            </w:r>
            <w:proofErr w:type="spellStart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ул.Матросовская</w:t>
            </w:r>
            <w:proofErr w:type="spellEnd"/>
            <w:r w:rsidRPr="00966540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 до ул. Первомайская:</w:t>
            </w:r>
          </w:p>
          <w:p w:rsidR="00B1416A" w:rsidRPr="00966540" w:rsidRDefault="00B1416A" w:rsidP="00F55A47">
            <w:pPr>
              <w:tabs>
                <w:tab w:val="left" w:pos="1200"/>
              </w:tabs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Набережная, ул. Садовая, ул.Садовое кольцо, ул. </w:t>
            </w:r>
            <w:proofErr w:type="gram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Дубровинская,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Ленинская, ул. К.Маркса, ул.Свободы,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Бланская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Юбилейная, ул. Пешкова, ул. Победы, ул. Сенная, ул. Середина, ул. Чкалова,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пер.Кирсановский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, ул. Первомайская, пер.Тургенева, ул. Терешковой ,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Гагарина, ул. Пролетарская, ул. Народная, ул. Третьяковская,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Советская, ул. Павловского, ул. 217 Стр. дивизии,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Корытина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Крестьянская</w:t>
            </w:r>
          </w:p>
        </w:tc>
        <w:tc>
          <w:tcPr>
            <w:tcW w:w="3260" w:type="dxa"/>
            <w:shd w:val="clear" w:color="auto" w:fill="FFFFFF" w:themeFill="background1"/>
          </w:tcPr>
          <w:p w:rsidR="00B1416A" w:rsidRPr="00A535A6" w:rsidRDefault="00B1416A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522F8">
              <w:rPr>
                <w:rFonts w:ascii="Times New Roman" w:hAnsi="Times New Roman"/>
                <w:sz w:val="20"/>
                <w:szCs w:val="20"/>
              </w:rPr>
              <w:t>28.04.2025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включительно</w:t>
            </w:r>
          </w:p>
        </w:tc>
      </w:tr>
      <w:tr w:rsidR="00B1416A" w:rsidRPr="00966540" w:rsidTr="00966540">
        <w:trPr>
          <w:trHeight w:val="392"/>
        </w:trPr>
        <w:tc>
          <w:tcPr>
            <w:tcW w:w="540" w:type="dxa"/>
            <w:shd w:val="clear" w:color="auto" w:fill="FFFFFF" w:themeFill="background1"/>
          </w:tcPr>
          <w:p w:rsidR="00B1416A" w:rsidRPr="00966540" w:rsidRDefault="00B1416A" w:rsidP="00624855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56" w:type="dxa"/>
            <w:shd w:val="clear" w:color="auto" w:fill="FFFFFF" w:themeFill="background1"/>
          </w:tcPr>
          <w:p w:rsidR="00B1416A" w:rsidRPr="00966540" w:rsidRDefault="00B1416A" w:rsidP="00624855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sz w:val="20"/>
                <w:szCs w:val="20"/>
              </w:rPr>
              <w:t>ул.40 лет Октября, ул.Гоголевская</w:t>
            </w:r>
          </w:p>
        </w:tc>
        <w:tc>
          <w:tcPr>
            <w:tcW w:w="3260" w:type="dxa"/>
            <w:shd w:val="clear" w:color="auto" w:fill="FFFFFF" w:themeFill="background1"/>
          </w:tcPr>
          <w:p w:rsidR="00B1416A" w:rsidRPr="00966540" w:rsidRDefault="00B1416A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522F8">
              <w:rPr>
                <w:rFonts w:ascii="Times New Roman" w:hAnsi="Times New Roman"/>
                <w:sz w:val="20"/>
                <w:szCs w:val="20"/>
              </w:rPr>
              <w:t>14.04.2025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включительно</w:t>
            </w:r>
          </w:p>
        </w:tc>
      </w:tr>
      <w:tr w:rsidR="00B1416A" w:rsidRPr="00966540" w:rsidTr="00966540">
        <w:trPr>
          <w:trHeight w:val="300"/>
        </w:trPr>
        <w:tc>
          <w:tcPr>
            <w:tcW w:w="540" w:type="dxa"/>
            <w:shd w:val="clear" w:color="auto" w:fill="FFFFFF" w:themeFill="background1"/>
          </w:tcPr>
          <w:p w:rsidR="00B1416A" w:rsidRPr="00966540" w:rsidRDefault="00B1416A" w:rsidP="00B12E1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56" w:type="dxa"/>
            <w:shd w:val="clear" w:color="auto" w:fill="FFFFFF" w:themeFill="background1"/>
          </w:tcPr>
          <w:p w:rsidR="00B1416A" w:rsidRPr="00966540" w:rsidRDefault="00B1416A" w:rsidP="001A664C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Заводская, ул. Маяковского, ул.Калинина, ул.Парковая, ул.Фрунзе, пер.Кольцова, ул.Яблочкова, ул. Куйбышева,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Корнаковского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Авиационная, 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Богдана-Хмельницкого, ул. Р. Крестьянская, ул.Комсомольская, ул. Космонавтов, ул. Интернациональная, пер.Талалихина, пер. Ёлочный, п.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Водострой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B1416A" w:rsidRPr="00966540" w:rsidRDefault="00B1416A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522F8">
              <w:rPr>
                <w:rFonts w:ascii="Times New Roman" w:hAnsi="Times New Roman"/>
                <w:sz w:val="20"/>
                <w:szCs w:val="20"/>
              </w:rPr>
              <w:t>14.04.2025</w:t>
            </w:r>
            <w:r w:rsidRPr="009665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включительно</w:t>
            </w:r>
          </w:p>
        </w:tc>
      </w:tr>
      <w:tr w:rsidR="00B1416A" w:rsidRPr="00966540" w:rsidTr="00966540">
        <w:trPr>
          <w:trHeight w:val="1085"/>
        </w:trPr>
        <w:tc>
          <w:tcPr>
            <w:tcW w:w="540" w:type="dxa"/>
            <w:shd w:val="clear" w:color="auto" w:fill="FFFFFF" w:themeFill="background1"/>
          </w:tcPr>
          <w:p w:rsidR="00B1416A" w:rsidRPr="00966540" w:rsidRDefault="00B1416A" w:rsidP="00784E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6" w:type="dxa"/>
            <w:shd w:val="clear" w:color="auto" w:fill="FFFFFF" w:themeFill="background1"/>
          </w:tcPr>
          <w:p w:rsidR="00B1416A" w:rsidRPr="00966540" w:rsidRDefault="00B1416A" w:rsidP="00784EE5">
            <w:pPr>
              <w:tabs>
                <w:tab w:val="left" w:pos="1200"/>
              </w:tabs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 Промышленная , ул. Строителей, ул. Некрасова, ул. Красноармейская, ул. Краснофлотская, ул.Циолковского, ул. Гоголевская, 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Степная,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Алабышева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, 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Рубежная, ул. Революционная, ул. Железнодорожная, ул. Свердлова</w:t>
            </w:r>
          </w:p>
        </w:tc>
        <w:tc>
          <w:tcPr>
            <w:tcW w:w="3260" w:type="dxa"/>
            <w:shd w:val="clear" w:color="auto" w:fill="FFFFFF" w:themeFill="background1"/>
          </w:tcPr>
          <w:p w:rsidR="00B1416A" w:rsidRPr="00966540" w:rsidRDefault="00B1416A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522F8">
              <w:rPr>
                <w:rFonts w:ascii="Times New Roman" w:hAnsi="Times New Roman"/>
                <w:sz w:val="20"/>
                <w:szCs w:val="20"/>
              </w:rPr>
              <w:t>21.04.2025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включительно</w:t>
            </w:r>
          </w:p>
        </w:tc>
      </w:tr>
      <w:tr w:rsidR="00B1416A" w:rsidRPr="00966540" w:rsidTr="00966540">
        <w:trPr>
          <w:trHeight w:val="987"/>
        </w:trPr>
        <w:tc>
          <w:tcPr>
            <w:tcW w:w="540" w:type="dxa"/>
            <w:shd w:val="clear" w:color="auto" w:fill="FFFFFF" w:themeFill="background1"/>
          </w:tcPr>
          <w:p w:rsidR="00B1416A" w:rsidRPr="00966540" w:rsidRDefault="00B1416A" w:rsidP="00784E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56" w:type="dxa"/>
            <w:shd w:val="clear" w:color="auto" w:fill="FFFFFF" w:themeFill="background1"/>
          </w:tcPr>
          <w:p w:rsidR="00B1416A" w:rsidRPr="00966540" w:rsidRDefault="00B1416A" w:rsidP="00D522F8">
            <w:pPr>
              <w:tabs>
                <w:tab w:val="left" w:pos="1200"/>
              </w:tabs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М. Горького. ул. Кирова, ул. Полевая, ул. Савина, ул. </w:t>
            </w:r>
            <w:proofErr w:type="gram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Красная,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Рабочая. ул. Новослободская, ул. Республиканская. ул. Гражданская, ул. Трудовая, ул.  Долевая, ул. Степная,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Алабышева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Рубежная,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 Революционная, ул. Железнодорожная, 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Прохо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>дная.</w:t>
            </w:r>
          </w:p>
        </w:tc>
        <w:tc>
          <w:tcPr>
            <w:tcW w:w="3260" w:type="dxa"/>
            <w:shd w:val="clear" w:color="auto" w:fill="FFFFFF" w:themeFill="background1"/>
          </w:tcPr>
          <w:p w:rsidR="00B1416A" w:rsidRPr="00966540" w:rsidRDefault="00B1416A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522F8">
              <w:rPr>
                <w:rFonts w:ascii="Times New Roman" w:hAnsi="Times New Roman"/>
                <w:sz w:val="20"/>
                <w:szCs w:val="20"/>
              </w:rPr>
              <w:t>21.04.2025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включительно</w:t>
            </w:r>
          </w:p>
        </w:tc>
      </w:tr>
      <w:tr w:rsidR="00B1416A" w:rsidRPr="00966540" w:rsidTr="00966540">
        <w:trPr>
          <w:trHeight w:val="221"/>
        </w:trPr>
        <w:tc>
          <w:tcPr>
            <w:tcW w:w="540" w:type="dxa"/>
            <w:shd w:val="clear" w:color="auto" w:fill="FFFFFF" w:themeFill="background1"/>
          </w:tcPr>
          <w:p w:rsidR="00B1416A" w:rsidRPr="00966540" w:rsidRDefault="00B1416A" w:rsidP="00B12E16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56" w:type="dxa"/>
            <w:shd w:val="clear" w:color="auto" w:fill="FFFFFF" w:themeFill="background1"/>
          </w:tcPr>
          <w:p w:rsidR="00B1416A" w:rsidRPr="00966540" w:rsidRDefault="00B1416A" w:rsidP="007B5E26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Жданова, ул. Комсомольская, пл. Комсомольская, ул. Мечникова,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Л. Толстого, ул. Металлистов, ул. Южная, ул. Кольцевая,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пер. Л. Толстого, ул. 8-го Съезда, ул. Гайдара, ул.Свободы, ул. Рябушкина, 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Энгельса, ул.</w:t>
            </w:r>
            <w:r w:rsidR="001A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Неделина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Орджоникидзе, ул. </w:t>
            </w:r>
            <w:proofErr w:type="spellStart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Хоперская</w:t>
            </w:r>
            <w:proofErr w:type="spellEnd"/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ул.8-го Марта, ул. Никитина, ул. Н. Островского, ул. Чехова, ул. Казачья, ул. Станичная, ул. Хвойная, ул.Сосновая, пер. Чайковского, </w:t>
            </w:r>
            <w:r w:rsidR="00D522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966540">
              <w:rPr>
                <w:rFonts w:ascii="Times New Roman" w:hAnsi="Times New Roman"/>
                <w:color w:val="000000"/>
                <w:sz w:val="20"/>
                <w:szCs w:val="20"/>
              </w:rPr>
              <w:t>ул. Чайковского</w:t>
            </w:r>
          </w:p>
        </w:tc>
        <w:tc>
          <w:tcPr>
            <w:tcW w:w="3260" w:type="dxa"/>
            <w:shd w:val="clear" w:color="auto" w:fill="FFFFFF" w:themeFill="background1"/>
          </w:tcPr>
          <w:p w:rsidR="00B1416A" w:rsidRPr="00966540" w:rsidRDefault="00B1416A" w:rsidP="00D522F8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522F8">
              <w:rPr>
                <w:rFonts w:ascii="Times New Roman" w:hAnsi="Times New Roman"/>
                <w:sz w:val="20"/>
                <w:szCs w:val="20"/>
              </w:rPr>
              <w:t>28.04.2025</w:t>
            </w:r>
            <w:r w:rsidRPr="009665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включительно</w:t>
            </w:r>
          </w:p>
        </w:tc>
      </w:tr>
    </w:tbl>
    <w:p w:rsidR="00221A72" w:rsidRPr="00FC1152" w:rsidRDefault="00221A72" w:rsidP="002E6BCB">
      <w:pPr>
        <w:spacing w:after="0"/>
        <w:rPr>
          <w:rFonts w:ascii="Times New Roman" w:hAnsi="Times New Roman"/>
          <w:sz w:val="28"/>
          <w:szCs w:val="28"/>
        </w:rPr>
      </w:pPr>
    </w:p>
    <w:sectPr w:rsidR="00221A72" w:rsidRPr="00FC1152" w:rsidSect="00C41A8D">
      <w:pgSz w:w="11906" w:h="16838"/>
      <w:pgMar w:top="426" w:right="707" w:bottom="0" w:left="1134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E5547"/>
    <w:multiLevelType w:val="multilevel"/>
    <w:tmpl w:val="1AE87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152"/>
    <w:rsid w:val="00011B03"/>
    <w:rsid w:val="00014E56"/>
    <w:rsid w:val="00016758"/>
    <w:rsid w:val="000240BA"/>
    <w:rsid w:val="00056EB0"/>
    <w:rsid w:val="00072670"/>
    <w:rsid w:val="00082168"/>
    <w:rsid w:val="00091627"/>
    <w:rsid w:val="000A0BC8"/>
    <w:rsid w:val="000A4A2F"/>
    <w:rsid w:val="000C66D7"/>
    <w:rsid w:val="000D52D0"/>
    <w:rsid w:val="000F4822"/>
    <w:rsid w:val="000F57FB"/>
    <w:rsid w:val="0011029A"/>
    <w:rsid w:val="00122B3B"/>
    <w:rsid w:val="00130451"/>
    <w:rsid w:val="0013370B"/>
    <w:rsid w:val="00134340"/>
    <w:rsid w:val="0014172F"/>
    <w:rsid w:val="00170F8B"/>
    <w:rsid w:val="0018427C"/>
    <w:rsid w:val="001968C2"/>
    <w:rsid w:val="00196CF1"/>
    <w:rsid w:val="001A1DB1"/>
    <w:rsid w:val="001A664C"/>
    <w:rsid w:val="001B781F"/>
    <w:rsid w:val="00207C0C"/>
    <w:rsid w:val="00217F65"/>
    <w:rsid w:val="00221A72"/>
    <w:rsid w:val="002301ED"/>
    <w:rsid w:val="0023276D"/>
    <w:rsid w:val="0027662E"/>
    <w:rsid w:val="00286EA7"/>
    <w:rsid w:val="002A7C93"/>
    <w:rsid w:val="002C661F"/>
    <w:rsid w:val="002D2FC9"/>
    <w:rsid w:val="002D743A"/>
    <w:rsid w:val="002E6BCB"/>
    <w:rsid w:val="00314082"/>
    <w:rsid w:val="0031626A"/>
    <w:rsid w:val="00316690"/>
    <w:rsid w:val="00335ACB"/>
    <w:rsid w:val="00346742"/>
    <w:rsid w:val="00357091"/>
    <w:rsid w:val="00374471"/>
    <w:rsid w:val="00375F2E"/>
    <w:rsid w:val="00385814"/>
    <w:rsid w:val="003A5B0F"/>
    <w:rsid w:val="003F4BC8"/>
    <w:rsid w:val="0040513A"/>
    <w:rsid w:val="00416F2A"/>
    <w:rsid w:val="00446D25"/>
    <w:rsid w:val="00450DF5"/>
    <w:rsid w:val="004619A6"/>
    <w:rsid w:val="004624B1"/>
    <w:rsid w:val="00496B54"/>
    <w:rsid w:val="004A2713"/>
    <w:rsid w:val="004A3AFD"/>
    <w:rsid w:val="004B0CD6"/>
    <w:rsid w:val="004B5CE0"/>
    <w:rsid w:val="004B7D65"/>
    <w:rsid w:val="004D6369"/>
    <w:rsid w:val="004F6ED4"/>
    <w:rsid w:val="004F7009"/>
    <w:rsid w:val="00512252"/>
    <w:rsid w:val="00544CF9"/>
    <w:rsid w:val="00583530"/>
    <w:rsid w:val="00583C14"/>
    <w:rsid w:val="005A3303"/>
    <w:rsid w:val="005A64A0"/>
    <w:rsid w:val="005A6BF9"/>
    <w:rsid w:val="005C0B1B"/>
    <w:rsid w:val="005D3E87"/>
    <w:rsid w:val="005D5C92"/>
    <w:rsid w:val="005E436E"/>
    <w:rsid w:val="005F32A1"/>
    <w:rsid w:val="00600F29"/>
    <w:rsid w:val="00610C17"/>
    <w:rsid w:val="0067137B"/>
    <w:rsid w:val="006B00B8"/>
    <w:rsid w:val="006C1A27"/>
    <w:rsid w:val="006C1D29"/>
    <w:rsid w:val="006F77BA"/>
    <w:rsid w:val="00711E00"/>
    <w:rsid w:val="007179E9"/>
    <w:rsid w:val="00717CBC"/>
    <w:rsid w:val="00736D33"/>
    <w:rsid w:val="0075283C"/>
    <w:rsid w:val="00762864"/>
    <w:rsid w:val="00766015"/>
    <w:rsid w:val="00786875"/>
    <w:rsid w:val="00792966"/>
    <w:rsid w:val="007C502A"/>
    <w:rsid w:val="007C62B1"/>
    <w:rsid w:val="007D0C9A"/>
    <w:rsid w:val="007D15DB"/>
    <w:rsid w:val="007E2001"/>
    <w:rsid w:val="007E6754"/>
    <w:rsid w:val="00824C8E"/>
    <w:rsid w:val="008323BA"/>
    <w:rsid w:val="00892BB5"/>
    <w:rsid w:val="008A0E04"/>
    <w:rsid w:val="008A3AC6"/>
    <w:rsid w:val="008B5D3D"/>
    <w:rsid w:val="008D7E87"/>
    <w:rsid w:val="008E5146"/>
    <w:rsid w:val="00934C9E"/>
    <w:rsid w:val="0095228E"/>
    <w:rsid w:val="00963942"/>
    <w:rsid w:val="00966540"/>
    <w:rsid w:val="009721BA"/>
    <w:rsid w:val="00981C1D"/>
    <w:rsid w:val="00991E75"/>
    <w:rsid w:val="009D2578"/>
    <w:rsid w:val="009F21D3"/>
    <w:rsid w:val="00A00DD3"/>
    <w:rsid w:val="00A07642"/>
    <w:rsid w:val="00A10C61"/>
    <w:rsid w:val="00A150A6"/>
    <w:rsid w:val="00A21F24"/>
    <w:rsid w:val="00A24BAE"/>
    <w:rsid w:val="00A535A6"/>
    <w:rsid w:val="00A57B40"/>
    <w:rsid w:val="00A76FD1"/>
    <w:rsid w:val="00A825C2"/>
    <w:rsid w:val="00A83B9B"/>
    <w:rsid w:val="00A85108"/>
    <w:rsid w:val="00A90700"/>
    <w:rsid w:val="00AF06C5"/>
    <w:rsid w:val="00AF70FC"/>
    <w:rsid w:val="00B12E16"/>
    <w:rsid w:val="00B1416A"/>
    <w:rsid w:val="00B25F50"/>
    <w:rsid w:val="00B4098B"/>
    <w:rsid w:val="00B73CE9"/>
    <w:rsid w:val="00B87088"/>
    <w:rsid w:val="00B93BD1"/>
    <w:rsid w:val="00BC2E83"/>
    <w:rsid w:val="00BD320A"/>
    <w:rsid w:val="00BF1B78"/>
    <w:rsid w:val="00C00642"/>
    <w:rsid w:val="00C22D63"/>
    <w:rsid w:val="00C41A8D"/>
    <w:rsid w:val="00C51097"/>
    <w:rsid w:val="00C5385E"/>
    <w:rsid w:val="00C67142"/>
    <w:rsid w:val="00C67DDD"/>
    <w:rsid w:val="00C77942"/>
    <w:rsid w:val="00C90D33"/>
    <w:rsid w:val="00C918A5"/>
    <w:rsid w:val="00CA146A"/>
    <w:rsid w:val="00CA214C"/>
    <w:rsid w:val="00CB37AD"/>
    <w:rsid w:val="00CC5CD0"/>
    <w:rsid w:val="00D04E7C"/>
    <w:rsid w:val="00D10AA4"/>
    <w:rsid w:val="00D26DD4"/>
    <w:rsid w:val="00D3632E"/>
    <w:rsid w:val="00D45D1D"/>
    <w:rsid w:val="00D515D2"/>
    <w:rsid w:val="00D522F8"/>
    <w:rsid w:val="00D565E2"/>
    <w:rsid w:val="00D56B57"/>
    <w:rsid w:val="00D56B84"/>
    <w:rsid w:val="00D91DC4"/>
    <w:rsid w:val="00DA18BE"/>
    <w:rsid w:val="00DB468D"/>
    <w:rsid w:val="00DB75C9"/>
    <w:rsid w:val="00DD1543"/>
    <w:rsid w:val="00DD4E4E"/>
    <w:rsid w:val="00DD7D0A"/>
    <w:rsid w:val="00DE562D"/>
    <w:rsid w:val="00DF3BC1"/>
    <w:rsid w:val="00DF604F"/>
    <w:rsid w:val="00E15A36"/>
    <w:rsid w:val="00E205C3"/>
    <w:rsid w:val="00E20626"/>
    <w:rsid w:val="00E304BF"/>
    <w:rsid w:val="00E7206E"/>
    <w:rsid w:val="00E85368"/>
    <w:rsid w:val="00EB0374"/>
    <w:rsid w:val="00EF127E"/>
    <w:rsid w:val="00F10FC9"/>
    <w:rsid w:val="00F34B18"/>
    <w:rsid w:val="00F578C2"/>
    <w:rsid w:val="00FA2845"/>
    <w:rsid w:val="00FA6B76"/>
    <w:rsid w:val="00FA6E0E"/>
    <w:rsid w:val="00FB3B8A"/>
    <w:rsid w:val="00FC1152"/>
    <w:rsid w:val="00FC25A7"/>
    <w:rsid w:val="00FC6B22"/>
    <w:rsid w:val="00FE4EC6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CF363"/>
  <w15:docId w15:val="{A86B0BCD-3147-4382-BE3A-6194EB5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C115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FC1152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 Александр Евгеньевич</dc:creator>
  <cp:lastModifiedBy>Сотрудник ЖКХ</cp:lastModifiedBy>
  <cp:revision>16</cp:revision>
  <cp:lastPrinted>2025-03-03T12:45:00Z</cp:lastPrinted>
  <dcterms:created xsi:type="dcterms:W3CDTF">2024-03-28T15:03:00Z</dcterms:created>
  <dcterms:modified xsi:type="dcterms:W3CDTF">2025-03-10T05:27:00Z</dcterms:modified>
</cp:coreProperties>
</file>