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7" w:rsidRDefault="002048F7" w:rsidP="00CD5546">
      <w:pPr>
        <w:rPr>
          <w:bCs/>
          <w:sz w:val="28"/>
          <w:szCs w:val="28"/>
        </w:rPr>
      </w:pPr>
    </w:p>
    <w:tbl>
      <w:tblPr>
        <w:tblpPr w:leftFromText="180" w:rightFromText="180" w:vertAnchor="text" w:horzAnchor="page" w:tblpX="10993" w:tblpY="-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</w:tblGrid>
      <w:tr w:rsidR="00AF5D4B" w:rsidRPr="005B5B2A" w:rsidTr="00AF5D4B">
        <w:trPr>
          <w:trHeight w:val="272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AF5D4B" w:rsidRPr="005B5B2A" w:rsidRDefault="00AF5D4B" w:rsidP="00AF5D4B">
            <w:pPr>
              <w:jc w:val="both"/>
              <w:rPr>
                <w:sz w:val="22"/>
                <w:szCs w:val="22"/>
              </w:rPr>
            </w:pPr>
          </w:p>
        </w:tc>
      </w:tr>
    </w:tbl>
    <w:p w:rsidR="00AF5D4B" w:rsidRDefault="00AF5D4B" w:rsidP="00AF5D4B">
      <w:pPr>
        <w:tabs>
          <w:tab w:val="left" w:pos="2100"/>
          <w:tab w:val="center" w:pos="4818"/>
        </w:tabs>
        <w:rPr>
          <w:b/>
          <w:sz w:val="28"/>
          <w:szCs w:val="28"/>
        </w:rPr>
      </w:pPr>
    </w:p>
    <w:p w:rsidR="00336861" w:rsidRDefault="00AF5D4B" w:rsidP="003368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36861" w:rsidRDefault="00336861" w:rsidP="003368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861" w:rsidRDefault="00336861" w:rsidP="00336861">
      <w:pPr>
        <w:pStyle w:val="a4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БОРИСОГЛЕБСКОГО ГОРОДСКОГО ОКРУГА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336861" w:rsidRDefault="00336861" w:rsidP="00336861">
      <w:pPr>
        <w:jc w:val="center"/>
        <w:rPr>
          <w:b/>
          <w:bCs/>
          <w:sz w:val="28"/>
          <w:szCs w:val="28"/>
        </w:rPr>
      </w:pPr>
    </w:p>
    <w:p w:rsidR="00336861" w:rsidRDefault="00336861" w:rsidP="0033686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36861" w:rsidRDefault="00336861" w:rsidP="00336861">
      <w:pPr>
        <w:rPr>
          <w:sz w:val="28"/>
          <w:szCs w:val="28"/>
        </w:rPr>
      </w:pPr>
    </w:p>
    <w:p w:rsidR="00336861" w:rsidRPr="00D6126C" w:rsidRDefault="00336861" w:rsidP="00336861">
      <w:pPr>
        <w:rPr>
          <w:b/>
          <w:bCs/>
          <w:sz w:val="28"/>
          <w:szCs w:val="28"/>
        </w:rPr>
      </w:pPr>
      <w:r w:rsidRPr="003D206B">
        <w:rPr>
          <w:b/>
          <w:bCs/>
          <w:sz w:val="28"/>
          <w:szCs w:val="28"/>
        </w:rPr>
        <w:t>от</w:t>
      </w:r>
      <w:r w:rsidR="00DF7CDA">
        <w:rPr>
          <w:b/>
          <w:bCs/>
          <w:sz w:val="28"/>
          <w:szCs w:val="28"/>
        </w:rPr>
        <w:t xml:space="preserve"> </w:t>
      </w:r>
      <w:r w:rsidR="00284744">
        <w:rPr>
          <w:b/>
          <w:bCs/>
          <w:sz w:val="28"/>
          <w:szCs w:val="28"/>
        </w:rPr>
        <w:t>24.12.2019</w:t>
      </w:r>
      <w:r w:rsidR="005B3F56">
        <w:rPr>
          <w:b/>
          <w:bCs/>
          <w:sz w:val="28"/>
          <w:szCs w:val="28"/>
        </w:rPr>
        <w:t xml:space="preserve"> г. </w:t>
      </w:r>
      <w:r w:rsidRPr="003D206B">
        <w:rPr>
          <w:b/>
          <w:bCs/>
          <w:sz w:val="28"/>
          <w:szCs w:val="28"/>
        </w:rPr>
        <w:t>№</w:t>
      </w:r>
      <w:r w:rsidR="008B4DF0">
        <w:rPr>
          <w:b/>
          <w:bCs/>
          <w:sz w:val="28"/>
          <w:szCs w:val="28"/>
        </w:rPr>
        <w:t xml:space="preserve"> 328</w:t>
      </w:r>
    </w:p>
    <w:p w:rsidR="00336861" w:rsidRDefault="00336861" w:rsidP="00336861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6"/>
      </w:tblGrid>
      <w:tr w:rsidR="00336861" w:rsidTr="004E1AFF">
        <w:trPr>
          <w:trHeight w:val="2518"/>
        </w:trPr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</w:tcPr>
          <w:p w:rsidR="00336861" w:rsidRDefault="00336861" w:rsidP="004B10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отчете постоянной комиссии Борисоглебской городской Думы</w:t>
            </w:r>
            <w:r w:rsidRPr="004852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852F8">
              <w:rPr>
                <w:sz w:val="28"/>
                <w:szCs w:val="28"/>
              </w:rPr>
              <w:t xml:space="preserve">по </w:t>
            </w:r>
            <w:r w:rsidR="004B1089">
              <w:rPr>
                <w:sz w:val="28"/>
                <w:szCs w:val="28"/>
              </w:rPr>
              <w:t xml:space="preserve">вопросам экономического развития и финансово-бюджетной политике </w:t>
            </w:r>
            <w:r>
              <w:rPr>
                <w:sz w:val="28"/>
                <w:szCs w:val="28"/>
              </w:rPr>
              <w:t>о вып</w:t>
            </w:r>
            <w:r w:rsidR="00284744">
              <w:rPr>
                <w:sz w:val="28"/>
                <w:szCs w:val="28"/>
              </w:rPr>
              <w:t>олнении своих полномочий за 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</w:tbl>
    <w:p w:rsidR="00336861" w:rsidRPr="00426190" w:rsidRDefault="00336861" w:rsidP="00336861"/>
    <w:p w:rsidR="00336861" w:rsidRDefault="00336861" w:rsidP="003368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Заслушав отчет председателя постоянной комиссии Борисоглебской городской Думы по</w:t>
      </w:r>
      <w:r w:rsidRPr="00380835">
        <w:rPr>
          <w:sz w:val="28"/>
          <w:szCs w:val="28"/>
        </w:rPr>
        <w:t xml:space="preserve">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proofErr w:type="spellStart"/>
      <w:r w:rsidR="0054733F">
        <w:rPr>
          <w:sz w:val="28"/>
          <w:szCs w:val="28"/>
        </w:rPr>
        <w:t>Р.Ю.Коневского</w:t>
      </w:r>
      <w:proofErr w:type="spellEnd"/>
      <w:r>
        <w:rPr>
          <w:sz w:val="28"/>
          <w:szCs w:val="28"/>
        </w:rPr>
        <w:t xml:space="preserve">  о выполнении полном</w:t>
      </w:r>
      <w:r w:rsidR="00284744">
        <w:rPr>
          <w:sz w:val="28"/>
          <w:szCs w:val="28"/>
        </w:rPr>
        <w:t>очий постоянной комиссии за 2019</w:t>
      </w:r>
      <w:r>
        <w:rPr>
          <w:sz w:val="28"/>
          <w:szCs w:val="28"/>
        </w:rPr>
        <w:t xml:space="preserve"> год,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Регламентом Борисоглебской городской Думы Борисоглебского городского округа Воронежской области Борисоглебская</w:t>
      </w:r>
      <w:proofErr w:type="gramEnd"/>
      <w:r>
        <w:rPr>
          <w:sz w:val="28"/>
          <w:szCs w:val="28"/>
        </w:rPr>
        <w:t xml:space="preserve"> городская Дума Борисоглебского городского округа Воронежской области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36861" w:rsidRDefault="00336861" w:rsidP="0033686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постоянной комиссии Борисоглебской городской Думы </w:t>
      </w:r>
      <w:r w:rsidRPr="00380835">
        <w:rPr>
          <w:sz w:val="28"/>
          <w:szCs w:val="28"/>
        </w:rPr>
        <w:t xml:space="preserve">по </w:t>
      </w:r>
      <w:r w:rsidR="0054733F">
        <w:rPr>
          <w:sz w:val="28"/>
          <w:szCs w:val="28"/>
        </w:rPr>
        <w:t xml:space="preserve">вопросам экономического развития и финансово-бюджетной политике </w:t>
      </w:r>
      <w:r>
        <w:rPr>
          <w:sz w:val="28"/>
          <w:szCs w:val="28"/>
        </w:rPr>
        <w:t>о вып</w:t>
      </w:r>
      <w:r w:rsidR="00284744">
        <w:rPr>
          <w:sz w:val="28"/>
          <w:szCs w:val="28"/>
        </w:rPr>
        <w:t>олнении своих полномочий за 2019</w:t>
      </w:r>
      <w:r>
        <w:rPr>
          <w:sz w:val="28"/>
          <w:szCs w:val="28"/>
        </w:rPr>
        <w:t xml:space="preserve"> год (прилагается) утвердить.</w:t>
      </w:r>
    </w:p>
    <w:p w:rsidR="00336861" w:rsidRDefault="00336861" w:rsidP="00336861">
      <w:pPr>
        <w:pStyle w:val="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336861" w:rsidRDefault="00336861" w:rsidP="00336861">
      <w:pPr>
        <w:pStyle w:val="3"/>
        <w:rPr>
          <w:sz w:val="28"/>
          <w:szCs w:val="28"/>
        </w:rPr>
      </w:pPr>
    </w:p>
    <w:p w:rsidR="00336861" w:rsidRDefault="00336861" w:rsidP="00336861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Борисоглебского городского округа                                          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sz w:val="28"/>
          <w:szCs w:val="28"/>
        </w:rPr>
        <w:t xml:space="preserve"> </w:t>
      </w:r>
    </w:p>
    <w:p w:rsidR="00336861" w:rsidRDefault="00336861" w:rsidP="00336861">
      <w:pPr>
        <w:rPr>
          <w:bCs/>
          <w:sz w:val="28"/>
          <w:szCs w:val="28"/>
        </w:rPr>
      </w:pPr>
    </w:p>
    <w:p w:rsidR="00CA6C34" w:rsidRPr="00767724" w:rsidRDefault="00CA6C34" w:rsidP="00CA6C34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 w:rsidRPr="00767724">
        <w:rPr>
          <w:sz w:val="22"/>
          <w:szCs w:val="22"/>
        </w:rPr>
        <w:lastRenderedPageBreak/>
        <w:t xml:space="preserve">Приложение к решению </w:t>
      </w:r>
    </w:p>
    <w:p w:rsidR="00CA6C34" w:rsidRPr="00767724" w:rsidRDefault="00CA6C34" w:rsidP="00CA6C34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 w:rsidRPr="00767724">
        <w:rPr>
          <w:sz w:val="22"/>
          <w:szCs w:val="22"/>
        </w:rPr>
        <w:t xml:space="preserve">Борисоглебской городской Думы </w:t>
      </w:r>
    </w:p>
    <w:p w:rsidR="00CA6C34" w:rsidRPr="002A3EF8" w:rsidRDefault="00CA6C34" w:rsidP="00CA6C34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 w:rsidRPr="002A3EF8">
        <w:rPr>
          <w:sz w:val="22"/>
          <w:szCs w:val="22"/>
        </w:rPr>
        <w:t xml:space="preserve">Борисоглебского городского округа </w:t>
      </w:r>
    </w:p>
    <w:p w:rsidR="00CA6C34" w:rsidRPr="002A3EF8" w:rsidRDefault="00CA6C34" w:rsidP="00CA6C34">
      <w:pPr>
        <w:framePr w:hSpace="180" w:wrap="around" w:vAnchor="text" w:hAnchor="text" w:xAlign="right" w:y="181"/>
        <w:ind w:left="5812"/>
        <w:rPr>
          <w:i/>
          <w:sz w:val="22"/>
          <w:szCs w:val="22"/>
        </w:rPr>
      </w:pPr>
      <w:r w:rsidRPr="002A3EF8">
        <w:rPr>
          <w:sz w:val="22"/>
          <w:szCs w:val="22"/>
        </w:rPr>
        <w:t xml:space="preserve">Воронежской области </w:t>
      </w:r>
    </w:p>
    <w:p w:rsidR="00CA6C34" w:rsidRPr="00767724" w:rsidRDefault="00CA6C34" w:rsidP="00CA6C34">
      <w:pPr>
        <w:ind w:left="5812"/>
        <w:rPr>
          <w:b/>
          <w:i/>
          <w:sz w:val="28"/>
          <w:szCs w:val="28"/>
        </w:rPr>
      </w:pPr>
      <w:r w:rsidRPr="002A3EF8">
        <w:rPr>
          <w:sz w:val="22"/>
          <w:szCs w:val="22"/>
        </w:rPr>
        <w:t xml:space="preserve">от  </w:t>
      </w:r>
      <w:r w:rsidR="00284744">
        <w:rPr>
          <w:sz w:val="22"/>
          <w:szCs w:val="22"/>
        </w:rPr>
        <w:t>24.12.2019</w:t>
      </w:r>
      <w:r w:rsidR="005B3F56">
        <w:rPr>
          <w:sz w:val="22"/>
          <w:szCs w:val="22"/>
        </w:rPr>
        <w:t xml:space="preserve"> г. </w:t>
      </w:r>
      <w:r w:rsidRPr="002A3EF8">
        <w:rPr>
          <w:sz w:val="22"/>
          <w:szCs w:val="22"/>
        </w:rPr>
        <w:t xml:space="preserve">г. № </w:t>
      </w:r>
      <w:r w:rsidR="008B4DF0">
        <w:rPr>
          <w:sz w:val="22"/>
          <w:szCs w:val="22"/>
        </w:rPr>
        <w:t>328</w:t>
      </w:r>
      <w:bookmarkStart w:id="0" w:name="_GoBack"/>
      <w:bookmarkEnd w:id="0"/>
    </w:p>
    <w:p w:rsidR="00CA6C34" w:rsidRDefault="00CA6C34" w:rsidP="00CA6C34">
      <w:pPr>
        <w:jc w:val="center"/>
        <w:rPr>
          <w:b/>
          <w:i/>
          <w:sz w:val="28"/>
          <w:szCs w:val="28"/>
        </w:rPr>
      </w:pPr>
    </w:p>
    <w:p w:rsidR="00284744" w:rsidRPr="00767724" w:rsidRDefault="00284744" w:rsidP="00284744">
      <w:pPr>
        <w:jc w:val="center"/>
        <w:rPr>
          <w:b/>
          <w:i/>
          <w:sz w:val="28"/>
          <w:szCs w:val="28"/>
        </w:rPr>
      </w:pPr>
      <w:r w:rsidRPr="00767724">
        <w:rPr>
          <w:b/>
          <w:sz w:val="28"/>
          <w:szCs w:val="28"/>
        </w:rPr>
        <w:t>ОТЧЕТ ПОСТОЯННОЙ КОМИССИИ</w:t>
      </w:r>
    </w:p>
    <w:p w:rsidR="00284744" w:rsidRPr="00032D40" w:rsidRDefault="00284744" w:rsidP="00284744">
      <w:pPr>
        <w:jc w:val="center"/>
        <w:rPr>
          <w:b/>
          <w:i/>
          <w:sz w:val="28"/>
          <w:szCs w:val="28"/>
        </w:rPr>
      </w:pPr>
      <w:r w:rsidRPr="00767724">
        <w:rPr>
          <w:b/>
          <w:sz w:val="28"/>
          <w:szCs w:val="28"/>
        </w:rPr>
        <w:t xml:space="preserve"> </w:t>
      </w:r>
      <w:r w:rsidRPr="00032D40">
        <w:rPr>
          <w:b/>
          <w:sz w:val="28"/>
          <w:szCs w:val="28"/>
        </w:rPr>
        <w:t>БОРИСОГЛЕБСКОЙ</w:t>
      </w:r>
      <w:r>
        <w:rPr>
          <w:b/>
          <w:sz w:val="28"/>
          <w:szCs w:val="28"/>
        </w:rPr>
        <w:t xml:space="preserve"> </w:t>
      </w:r>
      <w:r w:rsidRPr="00032D40">
        <w:rPr>
          <w:b/>
          <w:sz w:val="28"/>
          <w:szCs w:val="28"/>
        </w:rPr>
        <w:t xml:space="preserve">ГОРОДСКОЙ ДУМЫ </w:t>
      </w:r>
    </w:p>
    <w:p w:rsidR="00284744" w:rsidRPr="00032D40" w:rsidRDefault="00284744" w:rsidP="00284744">
      <w:pPr>
        <w:jc w:val="center"/>
        <w:rPr>
          <w:b/>
          <w:i/>
          <w:sz w:val="28"/>
          <w:szCs w:val="28"/>
        </w:rPr>
      </w:pPr>
      <w:r w:rsidRPr="00032D40">
        <w:rPr>
          <w:b/>
          <w:sz w:val="28"/>
          <w:szCs w:val="28"/>
        </w:rPr>
        <w:t>ПО ВОПРОСАМ ЭКОНОМИЧЕСКОГО РАЗВИТИЯ</w:t>
      </w:r>
    </w:p>
    <w:p w:rsidR="00284744" w:rsidRPr="00032D40" w:rsidRDefault="00284744" w:rsidP="00284744">
      <w:pPr>
        <w:jc w:val="center"/>
        <w:rPr>
          <w:b/>
          <w:i/>
          <w:sz w:val="28"/>
          <w:szCs w:val="28"/>
        </w:rPr>
      </w:pPr>
      <w:r w:rsidRPr="00032D40">
        <w:rPr>
          <w:b/>
          <w:sz w:val="28"/>
          <w:szCs w:val="28"/>
        </w:rPr>
        <w:t xml:space="preserve"> И ФИНАНСОВО-БЮДЖЕТНОЙ ПОЛИТИКЕ </w:t>
      </w:r>
    </w:p>
    <w:p w:rsidR="00284744" w:rsidRPr="00032D40" w:rsidRDefault="00284744" w:rsidP="00284744">
      <w:pPr>
        <w:jc w:val="center"/>
        <w:rPr>
          <w:b/>
          <w:i/>
          <w:sz w:val="28"/>
          <w:szCs w:val="28"/>
        </w:rPr>
      </w:pPr>
      <w:r w:rsidRPr="00032D40">
        <w:rPr>
          <w:b/>
          <w:sz w:val="28"/>
          <w:szCs w:val="28"/>
        </w:rPr>
        <w:t xml:space="preserve">О ВЫПОЛНЕНИИ СВОИХ ПОЛНОМОЧИЙ ЗА 2019 </w:t>
      </w:r>
      <w:r w:rsidR="00833356">
        <w:rPr>
          <w:b/>
          <w:sz w:val="28"/>
          <w:szCs w:val="28"/>
        </w:rPr>
        <w:t>ГОД</w:t>
      </w:r>
    </w:p>
    <w:p w:rsidR="00284744" w:rsidRPr="00032D40" w:rsidRDefault="00284744" w:rsidP="00284744">
      <w:pPr>
        <w:ind w:firstLine="567"/>
        <w:rPr>
          <w:b/>
          <w:i/>
          <w:sz w:val="28"/>
          <w:szCs w:val="28"/>
        </w:rPr>
      </w:pPr>
    </w:p>
    <w:p w:rsidR="00284744" w:rsidRPr="00032D40" w:rsidRDefault="00284744" w:rsidP="00284744">
      <w:pPr>
        <w:ind w:firstLine="567"/>
        <w:jc w:val="both"/>
        <w:rPr>
          <w:i/>
          <w:sz w:val="28"/>
          <w:szCs w:val="28"/>
        </w:rPr>
      </w:pPr>
      <w:r w:rsidRPr="00032D40">
        <w:rPr>
          <w:sz w:val="28"/>
          <w:szCs w:val="28"/>
        </w:rPr>
        <w:t xml:space="preserve">         В соответствии со статьей 26 Устава Борисоглебского городского округа Воронежской области в структуру Борисоглебской городской Думы входят постоянные комиссии Борисоглебской городской Думы Борисоглебского городского округа Воронежской области (далее – городская Дума).  </w:t>
      </w:r>
      <w:proofErr w:type="gramStart"/>
      <w:r w:rsidRPr="00032D40">
        <w:rPr>
          <w:sz w:val="28"/>
          <w:szCs w:val="28"/>
        </w:rPr>
        <w:t>С учетом изменений от 25.01.2018 г. № 156 в Регламент Борисоглебской городской Думы Борисоглебского городского округа Воронежской области, утвержденного решением Борисоглебской городской Думы от 29.10.2013 г. № 186 (далее - Регламент), городская Дума из числа депутатов на срок своих полномочий утвердила постоянные комиссии для предварительного рассмотрения и подготовки вопросов, относящихся к компетенции городской Думы, содействия реализации решений городской Думы.</w:t>
      </w:r>
      <w:proofErr w:type="gramEnd"/>
      <w:r w:rsidRPr="00032D40">
        <w:rPr>
          <w:sz w:val="28"/>
          <w:szCs w:val="28"/>
        </w:rPr>
        <w:t xml:space="preserve"> В установленный вышеуказанным Регламентом перечень постоянных комиссий городской Думы входит постоянная комиссия Борисоглебской городской Думы по вопросам экономического развития и финансово-бюджетной политике.</w:t>
      </w:r>
    </w:p>
    <w:p w:rsidR="00284744" w:rsidRPr="009920DA" w:rsidRDefault="00284744" w:rsidP="00284744">
      <w:pPr>
        <w:ind w:firstLine="567"/>
        <w:jc w:val="both"/>
        <w:rPr>
          <w:sz w:val="28"/>
          <w:szCs w:val="28"/>
        </w:rPr>
      </w:pPr>
      <w:r w:rsidRPr="00032D40">
        <w:rPr>
          <w:sz w:val="28"/>
          <w:szCs w:val="28"/>
        </w:rPr>
        <w:t xml:space="preserve">       </w:t>
      </w:r>
      <w:r w:rsidRPr="009920DA">
        <w:rPr>
          <w:sz w:val="28"/>
          <w:szCs w:val="28"/>
        </w:rPr>
        <w:t xml:space="preserve">Персональный состав  комиссии по вопросам экономического развития и финансово-бюджетной политике  утвержден решением  городской Думы от 25.01.2018 г. № 157. В состав комиссии на основании собственного волеизъявления вошли  12 депутатов городской Думы: Авдеева Н.Г., </w:t>
      </w:r>
      <w:proofErr w:type="spellStart"/>
      <w:r w:rsidRPr="009920DA">
        <w:rPr>
          <w:sz w:val="28"/>
          <w:szCs w:val="28"/>
        </w:rPr>
        <w:t>Коневский</w:t>
      </w:r>
      <w:proofErr w:type="spellEnd"/>
      <w:r w:rsidRPr="009920DA">
        <w:rPr>
          <w:sz w:val="28"/>
          <w:szCs w:val="28"/>
        </w:rPr>
        <w:t xml:space="preserve"> Р.</w:t>
      </w:r>
      <w:proofErr w:type="gramStart"/>
      <w:r w:rsidRPr="009920DA">
        <w:rPr>
          <w:sz w:val="28"/>
          <w:szCs w:val="28"/>
        </w:rPr>
        <w:t>Ю</w:t>
      </w:r>
      <w:proofErr w:type="gramEnd"/>
      <w:r w:rsidRPr="009920DA">
        <w:rPr>
          <w:sz w:val="28"/>
          <w:szCs w:val="28"/>
        </w:rPr>
        <w:t xml:space="preserve">, </w:t>
      </w:r>
      <w:proofErr w:type="spellStart"/>
      <w:r w:rsidRPr="009920DA">
        <w:rPr>
          <w:sz w:val="28"/>
          <w:szCs w:val="28"/>
        </w:rPr>
        <w:t>Сирооченко</w:t>
      </w:r>
      <w:proofErr w:type="spellEnd"/>
      <w:r w:rsidRPr="009920DA">
        <w:rPr>
          <w:sz w:val="28"/>
          <w:szCs w:val="28"/>
        </w:rPr>
        <w:t xml:space="preserve"> Ю.Г., </w:t>
      </w:r>
      <w:proofErr w:type="spellStart"/>
      <w:r w:rsidRPr="009920DA">
        <w:rPr>
          <w:sz w:val="28"/>
          <w:szCs w:val="28"/>
        </w:rPr>
        <w:t>Какорин</w:t>
      </w:r>
      <w:proofErr w:type="spellEnd"/>
      <w:r w:rsidRPr="009920DA">
        <w:rPr>
          <w:sz w:val="28"/>
          <w:szCs w:val="28"/>
        </w:rPr>
        <w:t xml:space="preserve"> А.Н, Ситников В.П.,  Филатов А.А., </w:t>
      </w:r>
      <w:proofErr w:type="spellStart"/>
      <w:r w:rsidRPr="009920DA">
        <w:rPr>
          <w:sz w:val="28"/>
          <w:szCs w:val="28"/>
        </w:rPr>
        <w:t>Негадова</w:t>
      </w:r>
      <w:proofErr w:type="spellEnd"/>
      <w:r w:rsidRPr="009920DA">
        <w:rPr>
          <w:sz w:val="28"/>
          <w:szCs w:val="28"/>
        </w:rPr>
        <w:t xml:space="preserve"> Г.В., Клочков Г.А., Тарасов И.И., </w:t>
      </w:r>
      <w:proofErr w:type="spellStart"/>
      <w:r w:rsidRPr="009920DA">
        <w:rPr>
          <w:sz w:val="28"/>
          <w:szCs w:val="28"/>
        </w:rPr>
        <w:t>Сухинин</w:t>
      </w:r>
      <w:proofErr w:type="spellEnd"/>
      <w:r w:rsidRPr="009920DA">
        <w:rPr>
          <w:sz w:val="28"/>
          <w:szCs w:val="28"/>
        </w:rPr>
        <w:t xml:space="preserve"> А.А., Хвастунов А.А., Мордвинов В.Н. Решением Борисоглебской городской Думы председателем указанной комиссии был избран  </w:t>
      </w:r>
      <w:proofErr w:type="spellStart"/>
      <w:r w:rsidRPr="009920DA">
        <w:rPr>
          <w:sz w:val="28"/>
          <w:szCs w:val="28"/>
        </w:rPr>
        <w:t>Коневский</w:t>
      </w:r>
      <w:proofErr w:type="spellEnd"/>
      <w:r w:rsidRPr="009920DA">
        <w:rPr>
          <w:sz w:val="28"/>
          <w:szCs w:val="28"/>
        </w:rPr>
        <w:t xml:space="preserve"> Р.Ю. Согласно статье 19 Регламента на первом  заседании вновь созданной комиссии по вопросам экономического развития и финансово-бюджетной политике из ее состава заместителем председателя комиссии  </w:t>
      </w:r>
      <w:proofErr w:type="gramStart"/>
      <w:r w:rsidRPr="009920DA">
        <w:rPr>
          <w:sz w:val="28"/>
          <w:szCs w:val="28"/>
        </w:rPr>
        <w:t>избран</w:t>
      </w:r>
      <w:proofErr w:type="gramEnd"/>
      <w:r w:rsidRPr="009920DA">
        <w:rPr>
          <w:sz w:val="28"/>
          <w:szCs w:val="28"/>
        </w:rPr>
        <w:t xml:space="preserve">  </w:t>
      </w:r>
      <w:proofErr w:type="spellStart"/>
      <w:r w:rsidRPr="009920DA">
        <w:rPr>
          <w:sz w:val="28"/>
          <w:szCs w:val="28"/>
        </w:rPr>
        <w:t>Сирооченко</w:t>
      </w:r>
      <w:proofErr w:type="spellEnd"/>
      <w:r w:rsidRPr="009920DA">
        <w:rPr>
          <w:sz w:val="28"/>
          <w:szCs w:val="28"/>
        </w:rPr>
        <w:t xml:space="preserve"> Ю.Г., секретарем комиссии – Клочков Г.А.</w:t>
      </w:r>
    </w:p>
    <w:p w:rsidR="00284744" w:rsidRPr="009920DA" w:rsidRDefault="00284744" w:rsidP="00284744">
      <w:pPr>
        <w:ind w:firstLine="567"/>
        <w:jc w:val="both"/>
        <w:rPr>
          <w:i/>
          <w:sz w:val="28"/>
          <w:szCs w:val="28"/>
        </w:rPr>
      </w:pPr>
      <w:r w:rsidRPr="009920DA">
        <w:rPr>
          <w:sz w:val="28"/>
          <w:szCs w:val="28"/>
        </w:rPr>
        <w:t xml:space="preserve">         В 2019 году комиссия по вопросам экономического развития и финансово-бюджетной политике осуществляла свою деятельность в рамках полномочий, предусмотренных  статьей 20 Регламента, Положением о постоянной комиссии Борисоглебской городской Думы Борисоглебского городского округа Воронежской области по вопросам экономического развития и финансово-бюджетной политике, утвержденным решением Борисоглебской городской Думы от 26.02.2018 г. № 173.</w:t>
      </w:r>
    </w:p>
    <w:p w:rsidR="00284744" w:rsidRPr="009920DA" w:rsidRDefault="00284744" w:rsidP="00284744">
      <w:pPr>
        <w:jc w:val="both"/>
        <w:rPr>
          <w:i/>
          <w:sz w:val="28"/>
          <w:szCs w:val="28"/>
        </w:rPr>
      </w:pPr>
      <w:r w:rsidRPr="009920DA">
        <w:rPr>
          <w:sz w:val="28"/>
          <w:szCs w:val="28"/>
        </w:rPr>
        <w:t xml:space="preserve">        Комиссия по вопросам экономического развития и финансово-бюджетной политике в течение 2019 года работала  в соответствии с  полугодовыми </w:t>
      </w:r>
      <w:r w:rsidRPr="009920DA">
        <w:rPr>
          <w:sz w:val="28"/>
          <w:szCs w:val="28"/>
        </w:rPr>
        <w:lastRenderedPageBreak/>
        <w:t xml:space="preserve">планами, разработанными и утвержденными на заседаниях постоянной комиссии. </w:t>
      </w:r>
    </w:p>
    <w:p w:rsidR="00284744" w:rsidRPr="009920DA" w:rsidRDefault="00284744" w:rsidP="00284744">
      <w:pPr>
        <w:jc w:val="both"/>
        <w:rPr>
          <w:sz w:val="28"/>
          <w:szCs w:val="28"/>
        </w:rPr>
      </w:pPr>
      <w:r w:rsidRPr="009920DA">
        <w:rPr>
          <w:sz w:val="28"/>
          <w:szCs w:val="28"/>
        </w:rPr>
        <w:t xml:space="preserve">    За 2019 год было проведено 7 заседаний комиссии по вопросам экономического развития и финансово-бюджетной политике.</w:t>
      </w:r>
    </w:p>
    <w:p w:rsidR="00284744" w:rsidRPr="009920DA" w:rsidRDefault="00284744" w:rsidP="00284744">
      <w:pPr>
        <w:jc w:val="both"/>
        <w:rPr>
          <w:b/>
          <w:i/>
          <w:sz w:val="28"/>
          <w:szCs w:val="28"/>
        </w:rPr>
      </w:pPr>
    </w:p>
    <w:p w:rsidR="00284744" w:rsidRPr="009920DA" w:rsidRDefault="00284744" w:rsidP="00284744">
      <w:pPr>
        <w:jc w:val="center"/>
        <w:rPr>
          <w:b/>
          <w:i/>
          <w:sz w:val="28"/>
          <w:szCs w:val="28"/>
        </w:rPr>
      </w:pPr>
      <w:r w:rsidRPr="009920DA">
        <w:rPr>
          <w:i/>
          <w:sz w:val="28"/>
          <w:szCs w:val="28"/>
        </w:rPr>
        <w:t>Сведения о посещаемости в 2019 году заседаний  членами комиссии по вопросам экономического развития и финансово-бюджетной политике</w:t>
      </w:r>
    </w:p>
    <w:p w:rsidR="00284744" w:rsidRPr="009920DA" w:rsidRDefault="00284744" w:rsidP="00284744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5159"/>
        <w:gridCol w:w="1690"/>
        <w:gridCol w:w="1933"/>
      </w:tblGrid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 xml:space="preserve">№ </w:t>
            </w:r>
            <w:proofErr w:type="gramStart"/>
            <w:r w:rsidRPr="009920DA">
              <w:rPr>
                <w:sz w:val="28"/>
                <w:szCs w:val="28"/>
              </w:rPr>
              <w:t>п</w:t>
            </w:r>
            <w:proofErr w:type="gramEnd"/>
            <w:r w:rsidRPr="009920DA">
              <w:rPr>
                <w:sz w:val="28"/>
                <w:szCs w:val="28"/>
              </w:rPr>
              <w:t>/п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ФИО депутата-члена комиссии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Количество посещений</w:t>
            </w:r>
          </w:p>
        </w:tc>
        <w:tc>
          <w:tcPr>
            <w:tcW w:w="1933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Процент посещаемости</w:t>
            </w:r>
          </w:p>
        </w:tc>
      </w:tr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1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9920DA">
              <w:rPr>
                <w:sz w:val="28"/>
                <w:szCs w:val="28"/>
              </w:rPr>
              <w:t>Коневский</w:t>
            </w:r>
            <w:proofErr w:type="spellEnd"/>
            <w:r w:rsidRPr="009920DA">
              <w:rPr>
                <w:sz w:val="28"/>
                <w:szCs w:val="28"/>
              </w:rPr>
              <w:t xml:space="preserve"> Р.Ю.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100%</w:t>
            </w:r>
          </w:p>
        </w:tc>
      </w:tr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2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9920DA">
              <w:rPr>
                <w:sz w:val="28"/>
                <w:szCs w:val="28"/>
              </w:rPr>
              <w:t>Сирооченко</w:t>
            </w:r>
            <w:proofErr w:type="spellEnd"/>
            <w:r w:rsidRPr="009920DA">
              <w:rPr>
                <w:sz w:val="28"/>
                <w:szCs w:val="28"/>
              </w:rPr>
              <w:t xml:space="preserve"> Ю.Г.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100%</w:t>
            </w:r>
          </w:p>
        </w:tc>
      </w:tr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3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9920DA">
              <w:rPr>
                <w:sz w:val="28"/>
                <w:szCs w:val="28"/>
              </w:rPr>
              <w:t>Какорин</w:t>
            </w:r>
            <w:proofErr w:type="spellEnd"/>
            <w:r w:rsidRPr="009920DA">
              <w:rPr>
                <w:sz w:val="28"/>
                <w:szCs w:val="28"/>
              </w:rPr>
              <w:t xml:space="preserve"> А.Н.</w:t>
            </w:r>
          </w:p>
        </w:tc>
        <w:tc>
          <w:tcPr>
            <w:tcW w:w="1690" w:type="dxa"/>
          </w:tcPr>
          <w:p w:rsidR="00284744" w:rsidRPr="009920DA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33" w:type="dxa"/>
          </w:tcPr>
          <w:p w:rsidR="00284744" w:rsidRPr="009920DA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71,4</w:t>
            </w:r>
            <w:r w:rsidR="00284744" w:rsidRPr="009920DA">
              <w:rPr>
                <w:sz w:val="28"/>
                <w:szCs w:val="28"/>
              </w:rPr>
              <w:t>%</w:t>
            </w:r>
          </w:p>
        </w:tc>
      </w:tr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4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Авдеева Н.Г.</w:t>
            </w:r>
            <w:r w:rsidRPr="009920DA">
              <w:t xml:space="preserve"> 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5</w:t>
            </w:r>
          </w:p>
        </w:tc>
        <w:tc>
          <w:tcPr>
            <w:tcW w:w="1933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71,4%</w:t>
            </w:r>
          </w:p>
        </w:tc>
      </w:tr>
      <w:tr w:rsidR="00284744" w:rsidRPr="009920DA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5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Ситников В.П.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6</w:t>
            </w:r>
          </w:p>
        </w:tc>
        <w:tc>
          <w:tcPr>
            <w:tcW w:w="1933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85,7%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6</w:t>
            </w:r>
          </w:p>
        </w:tc>
        <w:tc>
          <w:tcPr>
            <w:tcW w:w="5159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Тарасов И.И.</w:t>
            </w:r>
          </w:p>
        </w:tc>
        <w:tc>
          <w:tcPr>
            <w:tcW w:w="1690" w:type="dxa"/>
          </w:tcPr>
          <w:p w:rsidR="00284744" w:rsidRPr="009920DA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7</w:t>
            </w:r>
          </w:p>
        </w:tc>
        <w:tc>
          <w:tcPr>
            <w:tcW w:w="1933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9920DA">
              <w:rPr>
                <w:sz w:val="28"/>
                <w:szCs w:val="28"/>
              </w:rPr>
              <w:t>100%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7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Мордвинов В.Н.</w:t>
            </w:r>
            <w:r w:rsidRPr="00032D40">
              <w:t xml:space="preserve"> </w:t>
            </w:r>
          </w:p>
        </w:tc>
        <w:tc>
          <w:tcPr>
            <w:tcW w:w="1690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57,1</w:t>
            </w:r>
            <w:r w:rsidR="00284744" w:rsidRPr="00032D40">
              <w:rPr>
                <w:sz w:val="28"/>
                <w:szCs w:val="28"/>
              </w:rPr>
              <w:t>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8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Филатов А.А.</w:t>
            </w:r>
          </w:p>
        </w:tc>
        <w:tc>
          <w:tcPr>
            <w:tcW w:w="1690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5</w:t>
            </w:r>
          </w:p>
        </w:tc>
        <w:tc>
          <w:tcPr>
            <w:tcW w:w="1933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71,4%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9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032D40">
              <w:rPr>
                <w:sz w:val="28"/>
                <w:szCs w:val="28"/>
              </w:rPr>
              <w:t>Негадова</w:t>
            </w:r>
            <w:proofErr w:type="spellEnd"/>
            <w:r w:rsidRPr="00032D40">
              <w:rPr>
                <w:sz w:val="28"/>
                <w:szCs w:val="28"/>
              </w:rPr>
              <w:t xml:space="preserve"> Г.В.</w:t>
            </w:r>
          </w:p>
        </w:tc>
        <w:tc>
          <w:tcPr>
            <w:tcW w:w="1690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57,1</w:t>
            </w:r>
            <w:r w:rsidR="00284744" w:rsidRPr="00032D40">
              <w:rPr>
                <w:sz w:val="28"/>
                <w:szCs w:val="28"/>
              </w:rPr>
              <w:t>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10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Клочков Г.А.</w:t>
            </w:r>
          </w:p>
        </w:tc>
        <w:tc>
          <w:tcPr>
            <w:tcW w:w="1690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4</w:t>
            </w:r>
          </w:p>
        </w:tc>
        <w:tc>
          <w:tcPr>
            <w:tcW w:w="1933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57,1%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11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proofErr w:type="spellStart"/>
            <w:r w:rsidRPr="00032D40">
              <w:rPr>
                <w:sz w:val="28"/>
                <w:szCs w:val="28"/>
              </w:rPr>
              <w:t>Сухинин</w:t>
            </w:r>
            <w:proofErr w:type="spellEnd"/>
            <w:r w:rsidRPr="00032D40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690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284744" w:rsidRPr="00032D40" w:rsidRDefault="00927B56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28,6</w:t>
            </w:r>
            <w:r w:rsidR="00284744" w:rsidRPr="00032D40">
              <w:rPr>
                <w:sz w:val="28"/>
                <w:szCs w:val="28"/>
              </w:rPr>
              <w:t>%</w:t>
            </w:r>
          </w:p>
        </w:tc>
      </w:tr>
      <w:tr w:rsidR="00284744" w:rsidRPr="00032D40" w:rsidTr="00EE0268">
        <w:tc>
          <w:tcPr>
            <w:tcW w:w="78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12</w:t>
            </w:r>
          </w:p>
        </w:tc>
        <w:tc>
          <w:tcPr>
            <w:tcW w:w="5159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Хвастунов А.А.</w:t>
            </w:r>
          </w:p>
        </w:tc>
        <w:tc>
          <w:tcPr>
            <w:tcW w:w="1690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2</w:t>
            </w:r>
          </w:p>
        </w:tc>
        <w:tc>
          <w:tcPr>
            <w:tcW w:w="1933" w:type="dxa"/>
          </w:tcPr>
          <w:p w:rsidR="00284744" w:rsidRPr="00032D40" w:rsidRDefault="00284744" w:rsidP="00EE0268">
            <w:pPr>
              <w:tabs>
                <w:tab w:val="left" w:pos="0"/>
              </w:tabs>
              <w:suppressAutoHyphens/>
              <w:jc w:val="center"/>
              <w:rPr>
                <w:i/>
                <w:sz w:val="28"/>
                <w:szCs w:val="28"/>
              </w:rPr>
            </w:pPr>
            <w:r w:rsidRPr="00032D40">
              <w:rPr>
                <w:sz w:val="28"/>
                <w:szCs w:val="28"/>
              </w:rPr>
              <w:t>28,6%</w:t>
            </w:r>
          </w:p>
        </w:tc>
      </w:tr>
    </w:tbl>
    <w:p w:rsidR="00284744" w:rsidRPr="00032D40" w:rsidRDefault="00284744" w:rsidP="00284744">
      <w:pPr>
        <w:tabs>
          <w:tab w:val="left" w:pos="0"/>
        </w:tabs>
        <w:suppressAutoHyphens/>
        <w:jc w:val="center"/>
        <w:rPr>
          <w:i/>
          <w:sz w:val="28"/>
          <w:szCs w:val="28"/>
        </w:rPr>
      </w:pPr>
    </w:p>
    <w:p w:rsidR="00284744" w:rsidRPr="00032D40" w:rsidRDefault="00284744" w:rsidP="00284744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032D40">
        <w:rPr>
          <w:sz w:val="28"/>
          <w:szCs w:val="28"/>
        </w:rPr>
        <w:t xml:space="preserve">         На данных заседаниях депутатами – членами комиссии были рассмотрено 45 вопросов. Больша</w:t>
      </w:r>
      <w:r w:rsidR="00927B56">
        <w:rPr>
          <w:sz w:val="28"/>
          <w:szCs w:val="28"/>
        </w:rPr>
        <w:t xml:space="preserve">я часть вопросов была связана </w:t>
      </w:r>
      <w:r w:rsidRPr="00032D40">
        <w:rPr>
          <w:sz w:val="28"/>
          <w:szCs w:val="28"/>
        </w:rPr>
        <w:t xml:space="preserve">с  эффективным исполнением бюджета Борисоглебского городского округа  в 2019 году, а также формированием бюджета округа на очередной 2020 финансовый год и на плановый период 2021 и 2022  годов. </w:t>
      </w:r>
      <w:proofErr w:type="gramStart"/>
      <w:r w:rsidRPr="00032D40">
        <w:rPr>
          <w:sz w:val="28"/>
          <w:szCs w:val="28"/>
        </w:rPr>
        <w:t>Был рассмотрен и утвержден Отчет об исполнении бюджета Борисоглебского городского округа за 2018 год, утверждены полугодовые планы работы постоянной комиссии по вопросам экономического развития и финансово-бюджетной политике на 1 и 2 полугодие 2019 г. Внесены изменения в Положение о бюджетном процессе в Борисоглебском городском округе Воронежской области, в Положение об отделе по финансам администрации Борисоглебского городского округа.</w:t>
      </w:r>
      <w:proofErr w:type="gramEnd"/>
    </w:p>
    <w:p w:rsidR="00284744" w:rsidRPr="00032D40" w:rsidRDefault="00284744" w:rsidP="00284744">
      <w:pPr>
        <w:jc w:val="both"/>
        <w:rPr>
          <w:bCs/>
          <w:sz w:val="28"/>
          <w:szCs w:val="28"/>
        </w:rPr>
      </w:pPr>
      <w:r w:rsidRPr="00032D40">
        <w:rPr>
          <w:sz w:val="28"/>
          <w:szCs w:val="28"/>
        </w:rPr>
        <w:t xml:space="preserve">        В течение 2019 года неоднократно рассматривались вопросы эффективного использования муниципального имущества, внесены дополнения и изменения в Программу приватизации муниципального имущества Борисоглебского городского округа Воронежской области на 2019 год, утвержденную решением Борисоглебской городской Думы Борисоглебского городского округа Воронежской области от 24.12.2018 г. №255», целью которых было  увеличение доходной части бюджета округа.</w:t>
      </w:r>
      <w:r w:rsidRPr="00032D40">
        <w:rPr>
          <w:i/>
          <w:sz w:val="28"/>
          <w:szCs w:val="28"/>
        </w:rPr>
        <w:t xml:space="preserve"> </w:t>
      </w:r>
      <w:r w:rsidRPr="00032D40">
        <w:rPr>
          <w:sz w:val="28"/>
          <w:szCs w:val="28"/>
        </w:rPr>
        <w:t>Заслушан и утвержден</w:t>
      </w:r>
      <w:r w:rsidRPr="00032D40">
        <w:rPr>
          <w:i/>
          <w:sz w:val="28"/>
          <w:szCs w:val="28"/>
        </w:rPr>
        <w:t xml:space="preserve"> </w:t>
      </w:r>
      <w:r w:rsidRPr="00032D40">
        <w:rPr>
          <w:sz w:val="28"/>
          <w:szCs w:val="28"/>
        </w:rPr>
        <w:t xml:space="preserve">отчет администрации Борисоглебского городского округа Воронежской области о выполнении </w:t>
      </w:r>
      <w:proofErr w:type="gramStart"/>
      <w:r w:rsidRPr="00032D40">
        <w:rPr>
          <w:sz w:val="28"/>
          <w:szCs w:val="28"/>
        </w:rPr>
        <w:t>Программы приватизации муниципального имущества Борисоглебского городского округа Воронежской области</w:t>
      </w:r>
      <w:proofErr w:type="gramEnd"/>
      <w:r w:rsidRPr="00032D40">
        <w:rPr>
          <w:sz w:val="28"/>
          <w:szCs w:val="28"/>
        </w:rPr>
        <w:t xml:space="preserve"> за 2018 год.</w:t>
      </w:r>
      <w:r w:rsidRPr="00032D40">
        <w:rPr>
          <w:bCs/>
          <w:sz w:val="28"/>
          <w:szCs w:val="28"/>
        </w:rPr>
        <w:t xml:space="preserve"> </w:t>
      </w:r>
      <w:proofErr w:type="gramStart"/>
      <w:r w:rsidRPr="00032D40">
        <w:rPr>
          <w:bCs/>
          <w:sz w:val="28"/>
          <w:szCs w:val="28"/>
        </w:rPr>
        <w:t>Депутатам Борисоглебской городской Думы рекомендовано утвердить проект решения «</w:t>
      </w:r>
      <w:r w:rsidRPr="00032D40">
        <w:rPr>
          <w:sz w:val="28"/>
          <w:szCs w:val="28"/>
        </w:rPr>
        <w:t xml:space="preserve">О внесении изменений в Порядок формирования, ведения, обязательного опубликования перечня </w:t>
      </w:r>
      <w:r w:rsidRPr="00032D40">
        <w:rPr>
          <w:sz w:val="28"/>
          <w:szCs w:val="28"/>
        </w:rPr>
        <w:lastRenderedPageBreak/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32D40">
        <w:rPr>
          <w:bCs/>
          <w:sz w:val="28"/>
          <w:szCs w:val="28"/>
        </w:rPr>
        <w:t>», проект решения «</w:t>
      </w:r>
      <w:r w:rsidRPr="00032D40">
        <w:rPr>
          <w:sz w:val="28"/>
          <w:szCs w:val="28"/>
        </w:rPr>
        <w:t>Об исключении  и о включении   муниципального имущества в Перечень муниципального имущества, предназначенного для передачи</w:t>
      </w:r>
      <w:proofErr w:type="gramEnd"/>
      <w:r w:rsidRPr="00032D40">
        <w:rPr>
          <w:sz w:val="28"/>
          <w:szCs w:val="28"/>
        </w:rPr>
        <w:t xml:space="preserve">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84744" w:rsidRPr="00032D40" w:rsidRDefault="00284744" w:rsidP="00284744">
      <w:pPr>
        <w:jc w:val="both"/>
        <w:rPr>
          <w:color w:val="000000"/>
          <w:spacing w:val="-3"/>
          <w:sz w:val="28"/>
          <w:szCs w:val="28"/>
        </w:rPr>
      </w:pPr>
      <w:r w:rsidRPr="00032D40">
        <w:rPr>
          <w:bCs/>
          <w:sz w:val="28"/>
          <w:szCs w:val="28"/>
        </w:rPr>
        <w:t xml:space="preserve">                Заслушана и принята к сведению информация об </w:t>
      </w:r>
      <w:r w:rsidRPr="00032D40">
        <w:rPr>
          <w:sz w:val="28"/>
          <w:szCs w:val="28"/>
        </w:rPr>
        <w:t>исполнении муниципальной программы «Управление муниципальными финансами» за 2018 год, и</w:t>
      </w:r>
      <w:r w:rsidRPr="00032D40">
        <w:rPr>
          <w:bCs/>
          <w:sz w:val="28"/>
          <w:szCs w:val="28"/>
        </w:rPr>
        <w:t xml:space="preserve">нформация об </w:t>
      </w:r>
      <w:r w:rsidRPr="00032D40">
        <w:rPr>
          <w:sz w:val="28"/>
          <w:szCs w:val="28"/>
        </w:rPr>
        <w:t>исполнении муниципальной программы «Экономическое развитие и инновационная экономика» за  2018 год</w:t>
      </w:r>
      <w:r w:rsidRPr="00032D40">
        <w:rPr>
          <w:bCs/>
          <w:sz w:val="28"/>
          <w:szCs w:val="28"/>
        </w:rPr>
        <w:t xml:space="preserve">, информация об </w:t>
      </w:r>
      <w:r w:rsidRPr="00032D40">
        <w:rPr>
          <w:sz w:val="28"/>
          <w:szCs w:val="28"/>
        </w:rPr>
        <w:t>исполнении муниципальной программы «Развитие сельского хозяйства, производства пищевых продуктов и инфраструктуры агропродовольственного рынка» за  2018 год</w:t>
      </w:r>
      <w:r w:rsidRPr="00032D40">
        <w:rPr>
          <w:bCs/>
          <w:sz w:val="28"/>
          <w:szCs w:val="28"/>
        </w:rPr>
        <w:t>.</w:t>
      </w:r>
      <w:r w:rsidRPr="00032D40">
        <w:rPr>
          <w:sz w:val="28"/>
          <w:szCs w:val="28"/>
        </w:rPr>
        <w:t xml:space="preserve">     </w:t>
      </w:r>
    </w:p>
    <w:p w:rsidR="00284744" w:rsidRPr="00032D40" w:rsidRDefault="00284744" w:rsidP="00284744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032D40">
        <w:rPr>
          <w:sz w:val="28"/>
          <w:szCs w:val="28"/>
        </w:rPr>
        <w:t xml:space="preserve">        По итогам рассмотрения отдельных вопросов        комиссия по вопросам экономического развития и финансово-бюджетной политике направляла письменные рекомендации в администрацию Борисоглебского городского окру</w:t>
      </w:r>
      <w:r w:rsidR="00927B56">
        <w:rPr>
          <w:sz w:val="28"/>
          <w:szCs w:val="28"/>
        </w:rPr>
        <w:t>га. В числе таких рекомендаций: раздел</w:t>
      </w:r>
      <w:r w:rsidRPr="00032D40">
        <w:rPr>
          <w:sz w:val="28"/>
          <w:szCs w:val="28"/>
        </w:rPr>
        <w:t xml:space="preserve"> земельного участка, расположенного по адресу: г. Борисоглебск, ул. Терешковой, д.20</w:t>
      </w:r>
      <w:r w:rsidRPr="00927B56">
        <w:rPr>
          <w:sz w:val="28"/>
          <w:szCs w:val="28"/>
        </w:rPr>
        <w:t>, проработка вопроса об обмене объектами недвижимости.</w:t>
      </w:r>
      <w:r w:rsidRPr="00032D40">
        <w:rPr>
          <w:sz w:val="28"/>
          <w:szCs w:val="28"/>
        </w:rPr>
        <w:t xml:space="preserve"> Большинство рекомендаций комиссии были учтены, приняты соответствующие меры.</w:t>
      </w:r>
    </w:p>
    <w:p w:rsidR="00284744" w:rsidRPr="00032D40" w:rsidRDefault="00284744" w:rsidP="00284744">
      <w:pPr>
        <w:ind w:right="-185"/>
        <w:jc w:val="both"/>
        <w:rPr>
          <w:sz w:val="28"/>
          <w:szCs w:val="28"/>
        </w:rPr>
      </w:pPr>
      <w:r w:rsidRPr="00032D40">
        <w:rPr>
          <w:sz w:val="28"/>
          <w:szCs w:val="28"/>
        </w:rPr>
        <w:t xml:space="preserve">       Комиссия принимала активное участи</w:t>
      </w:r>
      <w:r w:rsidR="00927B56">
        <w:rPr>
          <w:sz w:val="28"/>
          <w:szCs w:val="28"/>
        </w:rPr>
        <w:t xml:space="preserve">е в рассмотрении вопросов </w:t>
      </w:r>
      <w:r w:rsidRPr="00032D40">
        <w:rPr>
          <w:sz w:val="28"/>
          <w:szCs w:val="28"/>
        </w:rPr>
        <w:t xml:space="preserve">о снижении ставки налога на имущество физических лиц, используемого в предпринимательских целях. </w:t>
      </w:r>
      <w:proofErr w:type="gramStart"/>
      <w:r w:rsidRPr="00032D40">
        <w:rPr>
          <w:sz w:val="28"/>
          <w:szCs w:val="28"/>
        </w:rPr>
        <w:t>В ходе активного обсуждения было принято решение  направить депутату Артемьеву Г.Г. ответ об отсутствии оснований для пересмотра ставки налога на имущество физических лиц по объектам налогообложения, включенным в Перечень, определяемый в соответствии с пунктом 7 статьи 378.2 Налогового кодекса, объектам налогообложения, предусмотренным абзацем вторым пункта 10 статьи 378.2 Налогового кодекса, и объектам налогообложения, кадастровая стоимость каждого из которых превышает</w:t>
      </w:r>
      <w:proofErr w:type="gramEnd"/>
      <w:r w:rsidRPr="00032D40">
        <w:rPr>
          <w:sz w:val="28"/>
          <w:szCs w:val="28"/>
        </w:rPr>
        <w:t xml:space="preserve"> 300 млн. рублей, с целью уменьшения ее с 2% до 1 %.</w:t>
      </w:r>
    </w:p>
    <w:p w:rsidR="00284744" w:rsidRPr="00032D40" w:rsidRDefault="00927B56" w:rsidP="0028474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4744" w:rsidRPr="00032D40">
        <w:rPr>
          <w:sz w:val="28"/>
          <w:szCs w:val="28"/>
        </w:rPr>
        <w:t xml:space="preserve"> Комиссией рассмотрено  обращение гр. </w:t>
      </w:r>
      <w:proofErr w:type="spellStart"/>
      <w:r w:rsidR="00284744" w:rsidRPr="00032D40">
        <w:rPr>
          <w:sz w:val="28"/>
          <w:szCs w:val="28"/>
        </w:rPr>
        <w:t>Перепоновой</w:t>
      </w:r>
      <w:proofErr w:type="spellEnd"/>
      <w:r w:rsidR="00284744" w:rsidRPr="00032D40">
        <w:rPr>
          <w:sz w:val="28"/>
          <w:szCs w:val="28"/>
        </w:rPr>
        <w:t xml:space="preserve"> О.А. и других предпринимателей об инициировании внесения изменений в Федеральный закон № 54-ФЗ «О применении контрольно-кассовой техники при осуществлении расчетов в Российской Федерации». </w:t>
      </w:r>
      <w:proofErr w:type="gramStart"/>
      <w:r w:rsidR="00284744" w:rsidRPr="00032D40">
        <w:rPr>
          <w:sz w:val="28"/>
          <w:szCs w:val="28"/>
        </w:rPr>
        <w:t xml:space="preserve">Решением комиссии был направлен </w:t>
      </w:r>
      <w:r w:rsidR="00284744" w:rsidRPr="00032D40">
        <w:rPr>
          <w:bCs/>
          <w:sz w:val="28"/>
          <w:szCs w:val="28"/>
        </w:rPr>
        <w:t xml:space="preserve">ответ о необходимости соблюдения порядка реализации гражданами права на правотворческую инициативу, предусмотренного Регламентом Борисоглебской городской Думы (с разъяснением такого порядка) и  четкого обоснования предлагаемых изменений в </w:t>
      </w:r>
      <w:r w:rsidR="00284744" w:rsidRPr="00032D40">
        <w:rPr>
          <w:sz w:val="28"/>
          <w:szCs w:val="28"/>
        </w:rPr>
        <w:t>Федеральный закон от 22.05.2003 г. № 54-ФЗ «О применении контрольно-кассовой техники при осуществлении расчетов в Российской Федерации», а также соответствия данных изменений целям и задачам законодательства Российской Федерации о применении контрольно-кассовой</w:t>
      </w:r>
      <w:proofErr w:type="gramEnd"/>
      <w:r w:rsidR="00284744" w:rsidRPr="00032D40">
        <w:rPr>
          <w:sz w:val="28"/>
          <w:szCs w:val="28"/>
        </w:rPr>
        <w:t xml:space="preserve"> техники.</w:t>
      </w:r>
    </w:p>
    <w:p w:rsidR="00284744" w:rsidRPr="00032D40" w:rsidRDefault="00284744" w:rsidP="00284744">
      <w:pPr>
        <w:jc w:val="both"/>
        <w:rPr>
          <w:bCs/>
          <w:sz w:val="28"/>
          <w:szCs w:val="28"/>
        </w:rPr>
      </w:pPr>
      <w:r w:rsidRPr="00032D40">
        <w:rPr>
          <w:sz w:val="28"/>
          <w:szCs w:val="28"/>
        </w:rPr>
        <w:t xml:space="preserve">          </w:t>
      </w:r>
      <w:proofErr w:type="gramStart"/>
      <w:r w:rsidRPr="00032D40">
        <w:rPr>
          <w:sz w:val="28"/>
          <w:szCs w:val="28"/>
        </w:rPr>
        <w:t xml:space="preserve">Члены комиссии принимали участие в заседаниях балансовых комиссий по итогам работы за отчетные периоды муниципальных предприятий,   </w:t>
      </w:r>
      <w:r w:rsidRPr="00032D40">
        <w:rPr>
          <w:bCs/>
          <w:sz w:val="28"/>
          <w:szCs w:val="28"/>
        </w:rPr>
        <w:lastRenderedPageBreak/>
        <w:t>депутатам Борисоглебской городской Думы рекомендовано утвердить проект решения «</w:t>
      </w:r>
      <w:r w:rsidRPr="00032D40">
        <w:rPr>
          <w:sz w:val="28"/>
          <w:szCs w:val="28"/>
        </w:rPr>
        <w:t>Об утверждении Положения о балансовой комиссии по контролю за финансово-хозяйственной деятельностью муниципальных унитарных предприятий</w:t>
      </w:r>
      <w:r w:rsidRPr="00032D40">
        <w:rPr>
          <w:bCs/>
          <w:sz w:val="28"/>
          <w:szCs w:val="28"/>
        </w:rPr>
        <w:t>», проект решения «</w:t>
      </w:r>
      <w:r w:rsidRPr="00032D40">
        <w:rPr>
          <w:sz w:val="28"/>
          <w:szCs w:val="28"/>
        </w:rPr>
        <w:t>Об утверждении Порядка перечисления муниципальными унитарными предприятиями в бюджет Борисоглебского городского округа Воронежской области части прибыли, остающейся  после уплаты налогов</w:t>
      </w:r>
      <w:proofErr w:type="gramEnd"/>
      <w:r w:rsidRPr="00032D40">
        <w:rPr>
          <w:sz w:val="28"/>
          <w:szCs w:val="28"/>
        </w:rPr>
        <w:t xml:space="preserve"> и иных обязательных платежей</w:t>
      </w:r>
      <w:r w:rsidRPr="00032D40">
        <w:rPr>
          <w:bCs/>
          <w:sz w:val="28"/>
          <w:szCs w:val="28"/>
        </w:rPr>
        <w:t>». Администрации Борисоглебского городского округа рекомендовано произвести оценку экономической выгоды и подготовить финансово-экономическое обоснование вариантов повышения эффективности финансово-хозяйственной деятельности МУП «</w:t>
      </w:r>
      <w:proofErr w:type="spellStart"/>
      <w:r w:rsidRPr="00032D40">
        <w:rPr>
          <w:bCs/>
          <w:sz w:val="28"/>
          <w:szCs w:val="28"/>
        </w:rPr>
        <w:t>Борисоглебскавтотранс</w:t>
      </w:r>
      <w:proofErr w:type="spellEnd"/>
      <w:r w:rsidRPr="00032D40">
        <w:rPr>
          <w:bCs/>
          <w:sz w:val="28"/>
          <w:szCs w:val="28"/>
        </w:rPr>
        <w:t>»</w:t>
      </w:r>
      <w:r w:rsidRPr="00032D40">
        <w:rPr>
          <w:sz w:val="28"/>
          <w:szCs w:val="28"/>
        </w:rPr>
        <w:t xml:space="preserve">: 1) </w:t>
      </w:r>
      <w:r w:rsidRPr="00032D40">
        <w:rPr>
          <w:bCs/>
          <w:sz w:val="28"/>
          <w:szCs w:val="28"/>
        </w:rPr>
        <w:t>передачи муниципального имущества, находящегося в хозяйственном ведении МУП «</w:t>
      </w:r>
      <w:proofErr w:type="spellStart"/>
      <w:r w:rsidRPr="00032D40">
        <w:rPr>
          <w:bCs/>
          <w:sz w:val="28"/>
          <w:szCs w:val="28"/>
        </w:rPr>
        <w:t>Борисоглебскавтотранс</w:t>
      </w:r>
      <w:proofErr w:type="spellEnd"/>
      <w:r w:rsidRPr="00032D40">
        <w:rPr>
          <w:bCs/>
          <w:sz w:val="28"/>
          <w:szCs w:val="28"/>
        </w:rPr>
        <w:t xml:space="preserve">», в аренду (всего имущественного комплекса  </w:t>
      </w:r>
      <w:proofErr w:type="gramStart"/>
      <w:r w:rsidRPr="00032D40">
        <w:rPr>
          <w:bCs/>
          <w:sz w:val="28"/>
          <w:szCs w:val="28"/>
        </w:rPr>
        <w:t>и(</w:t>
      </w:r>
      <w:proofErr w:type="gramEnd"/>
      <w:r w:rsidRPr="00032D40">
        <w:rPr>
          <w:bCs/>
          <w:sz w:val="28"/>
          <w:szCs w:val="28"/>
        </w:rPr>
        <w:t>или) по частям); 2) продажи указанного муниципального имущества  на электронном аукционе путем включения его в Программу приватизации муниципального имущества Борисоглебского городского округа Воронежской области. Рекомендовано администрации Борисоглебского городского округа Воронежской области предоставить муниципальное имущество, находящееся в хозяйственном ведении МУП «</w:t>
      </w:r>
      <w:proofErr w:type="spellStart"/>
      <w:r w:rsidRPr="00032D40">
        <w:rPr>
          <w:bCs/>
          <w:sz w:val="28"/>
          <w:szCs w:val="28"/>
        </w:rPr>
        <w:t>Борисоглебскавтотранс</w:t>
      </w:r>
      <w:proofErr w:type="spellEnd"/>
      <w:r w:rsidRPr="00032D40">
        <w:rPr>
          <w:bCs/>
          <w:sz w:val="28"/>
          <w:szCs w:val="28"/>
        </w:rPr>
        <w:t>» (полностью или частично), в аренду, сохранив при этом действующую маршрутную сеть.</w:t>
      </w:r>
    </w:p>
    <w:p w:rsidR="00284744" w:rsidRPr="00032D40" w:rsidRDefault="00284744" w:rsidP="00284744">
      <w:pPr>
        <w:jc w:val="both"/>
        <w:rPr>
          <w:bCs/>
          <w:sz w:val="28"/>
          <w:szCs w:val="28"/>
        </w:rPr>
      </w:pPr>
      <w:r w:rsidRPr="00032D40">
        <w:rPr>
          <w:bCs/>
          <w:sz w:val="28"/>
          <w:szCs w:val="28"/>
        </w:rPr>
        <w:t xml:space="preserve">            </w:t>
      </w:r>
      <w:r w:rsidRPr="00032D40">
        <w:rPr>
          <w:sz w:val="28"/>
          <w:szCs w:val="28"/>
        </w:rPr>
        <w:t>Комиссией приняты проекты решений и  рекомендовано</w:t>
      </w:r>
      <w:r w:rsidRPr="00032D40">
        <w:rPr>
          <w:bCs/>
          <w:sz w:val="28"/>
          <w:szCs w:val="28"/>
        </w:rPr>
        <w:t xml:space="preserve"> депутатам Борисоглебской городской Думы на очередном заседании к утверждению: </w:t>
      </w:r>
    </w:p>
    <w:p w:rsidR="00284744" w:rsidRPr="00032D40" w:rsidRDefault="00284744" w:rsidP="00284744">
      <w:pPr>
        <w:jc w:val="both"/>
        <w:rPr>
          <w:sz w:val="28"/>
          <w:szCs w:val="28"/>
        </w:rPr>
      </w:pPr>
      <w:r w:rsidRPr="00032D40">
        <w:rPr>
          <w:bCs/>
          <w:sz w:val="28"/>
          <w:szCs w:val="28"/>
        </w:rPr>
        <w:t xml:space="preserve"> - проект решения «</w:t>
      </w:r>
      <w:r w:rsidRPr="00032D40">
        <w:rPr>
          <w:color w:val="000000"/>
          <w:spacing w:val="-3"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24.04.2017 г. № 78 «</w:t>
      </w:r>
      <w:r w:rsidRPr="00032D40">
        <w:rPr>
          <w:sz w:val="28"/>
          <w:szCs w:val="28"/>
        </w:rPr>
        <w:t>Об установлении видов предпринимательской деятельности, в отношении которых на территории Борисоглебского городского округа Воронежской области применяется единый налог на вмененный доход и корректирующего коэффициента базовой доходности К</w:t>
      </w:r>
      <w:proofErr w:type="gramStart"/>
      <w:r w:rsidRPr="00032D40">
        <w:rPr>
          <w:sz w:val="28"/>
          <w:szCs w:val="28"/>
        </w:rPr>
        <w:t>2</w:t>
      </w:r>
      <w:proofErr w:type="gramEnd"/>
      <w:r w:rsidRPr="00032D40">
        <w:rPr>
          <w:sz w:val="28"/>
          <w:szCs w:val="28"/>
        </w:rPr>
        <w:t xml:space="preserve"> на 2017-2019 годы</w:t>
      </w:r>
      <w:r w:rsidRPr="00032D40">
        <w:rPr>
          <w:color w:val="000000"/>
          <w:spacing w:val="-3"/>
          <w:sz w:val="28"/>
          <w:szCs w:val="28"/>
        </w:rPr>
        <w:t>»</w:t>
      </w:r>
      <w:r w:rsidRPr="00032D40">
        <w:rPr>
          <w:bCs/>
          <w:sz w:val="28"/>
          <w:szCs w:val="28"/>
        </w:rPr>
        <w:t>».</w:t>
      </w:r>
    </w:p>
    <w:p w:rsidR="00284744" w:rsidRPr="00032D40" w:rsidRDefault="00284744" w:rsidP="00284744">
      <w:pPr>
        <w:jc w:val="both"/>
        <w:rPr>
          <w:color w:val="000000"/>
          <w:spacing w:val="-3"/>
          <w:sz w:val="28"/>
          <w:szCs w:val="28"/>
        </w:rPr>
      </w:pPr>
      <w:r w:rsidRPr="00032D40">
        <w:rPr>
          <w:bCs/>
          <w:sz w:val="28"/>
          <w:szCs w:val="28"/>
        </w:rPr>
        <w:t xml:space="preserve"> -  проект решения «</w:t>
      </w:r>
      <w:r w:rsidRPr="00032D40">
        <w:rPr>
          <w:color w:val="000000"/>
          <w:spacing w:val="-3"/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30.11.2015 г. № 348 «О налоге на имущество физических лиц»</w:t>
      </w:r>
      <w:r w:rsidRPr="00032D40">
        <w:rPr>
          <w:bCs/>
          <w:sz w:val="28"/>
          <w:szCs w:val="28"/>
        </w:rPr>
        <w:t>».</w:t>
      </w:r>
    </w:p>
    <w:p w:rsidR="00284744" w:rsidRPr="00032D40" w:rsidRDefault="00284744" w:rsidP="00284744">
      <w:pPr>
        <w:jc w:val="both"/>
        <w:rPr>
          <w:sz w:val="28"/>
          <w:szCs w:val="28"/>
        </w:rPr>
      </w:pPr>
      <w:r w:rsidRPr="00032D40">
        <w:rPr>
          <w:bCs/>
          <w:sz w:val="28"/>
          <w:szCs w:val="28"/>
        </w:rPr>
        <w:t xml:space="preserve"> - проект решения «</w:t>
      </w:r>
      <w:r w:rsidRPr="00032D40">
        <w:rPr>
          <w:sz w:val="28"/>
          <w:szCs w:val="28"/>
        </w:rPr>
        <w:t>О внесении изменений в решение Борисоглебской городской Думы Борисоглебского городского округа Воронежской области от 29.07.2005 г. № 8 «О введении в действие земельного налога, установлении ставок, сроков и порядка его уплаты»</w:t>
      </w:r>
      <w:r w:rsidRPr="00032D40">
        <w:rPr>
          <w:bCs/>
          <w:sz w:val="28"/>
          <w:szCs w:val="28"/>
        </w:rPr>
        <w:t>».</w:t>
      </w:r>
    </w:p>
    <w:p w:rsidR="00284744" w:rsidRPr="00032D40" w:rsidRDefault="00284744" w:rsidP="00284744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Члены постоянной комиссии</w:t>
      </w:r>
      <w:r w:rsidRPr="00AC005C">
        <w:rPr>
          <w:sz w:val="28"/>
          <w:szCs w:val="28"/>
        </w:rPr>
        <w:t xml:space="preserve">  по вопросам экономического развития и финансово-бюджетной политике</w:t>
      </w:r>
      <w:r>
        <w:rPr>
          <w:sz w:val="28"/>
          <w:szCs w:val="28"/>
        </w:rPr>
        <w:t xml:space="preserve"> </w:t>
      </w:r>
      <w:r w:rsidRPr="00AC005C">
        <w:rPr>
          <w:sz w:val="28"/>
          <w:szCs w:val="28"/>
        </w:rPr>
        <w:t>принимали активное участие во всех общегородских мероприятиях.</w:t>
      </w:r>
    </w:p>
    <w:p w:rsidR="00284744" w:rsidRPr="00657434" w:rsidRDefault="00284744" w:rsidP="00284744">
      <w:pPr>
        <w:tabs>
          <w:tab w:val="left" w:pos="0"/>
        </w:tabs>
        <w:suppressAutoHyphens/>
        <w:jc w:val="both"/>
        <w:rPr>
          <w:i/>
          <w:sz w:val="28"/>
          <w:szCs w:val="28"/>
        </w:rPr>
      </w:pPr>
      <w:r w:rsidRPr="0065743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657434">
        <w:rPr>
          <w:sz w:val="28"/>
          <w:szCs w:val="28"/>
        </w:rPr>
        <w:t>Следует отметить, что все запланированные мероприятия и заседания комиссией были осуществлены. Срывов в проведении заседа</w:t>
      </w:r>
      <w:r>
        <w:rPr>
          <w:sz w:val="28"/>
          <w:szCs w:val="28"/>
        </w:rPr>
        <w:t>ний за 2019</w:t>
      </w:r>
      <w:r w:rsidRPr="00657434">
        <w:rPr>
          <w:sz w:val="28"/>
          <w:szCs w:val="28"/>
        </w:rPr>
        <w:t xml:space="preserve"> год не было. </w:t>
      </w:r>
    </w:p>
    <w:p w:rsidR="00CA6C34" w:rsidRDefault="00CA6C34" w:rsidP="00CA6C34">
      <w:pPr>
        <w:jc w:val="center"/>
        <w:rPr>
          <w:b/>
          <w:i/>
          <w:sz w:val="28"/>
          <w:szCs w:val="28"/>
        </w:rPr>
      </w:pPr>
    </w:p>
    <w:sectPr w:rsidR="00CA6C34" w:rsidSect="00AF5D4B">
      <w:footerReference w:type="even" r:id="rId10"/>
      <w:footerReference w:type="default" r:id="rId11"/>
      <w:pgSz w:w="11906" w:h="16838"/>
      <w:pgMar w:top="53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EA" w:rsidRDefault="008933EA">
      <w:r>
        <w:separator/>
      </w:r>
    </w:p>
  </w:endnote>
  <w:endnote w:type="continuationSeparator" w:id="0">
    <w:p w:rsidR="008933EA" w:rsidRDefault="0089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8" w:rsidRDefault="008B27DC" w:rsidP="00B13D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6082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4DF0">
      <w:rPr>
        <w:rStyle w:val="a7"/>
        <w:noProof/>
      </w:rPr>
      <w:t>2</w:t>
    </w:r>
    <w:r>
      <w:rPr>
        <w:rStyle w:val="a7"/>
      </w:rPr>
      <w:fldChar w:fldCharType="end"/>
    </w:r>
  </w:p>
  <w:p w:rsidR="00960828" w:rsidRDefault="00960828" w:rsidP="003D206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EA" w:rsidRDefault="008933EA">
      <w:r>
        <w:separator/>
      </w:r>
    </w:p>
  </w:footnote>
  <w:footnote w:type="continuationSeparator" w:id="0">
    <w:p w:rsidR="008933EA" w:rsidRDefault="0089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295"/>
        </w:tabs>
        <w:ind w:left="2295" w:hanging="121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B1409"/>
    <w:multiLevelType w:val="hybridMultilevel"/>
    <w:tmpl w:val="2CD2C26A"/>
    <w:lvl w:ilvl="0" w:tplc="023869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AF5FD2"/>
    <w:multiLevelType w:val="hybridMultilevel"/>
    <w:tmpl w:val="5E58B25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AA5"/>
    <w:rsid w:val="00007E0D"/>
    <w:rsid w:val="0001145B"/>
    <w:rsid w:val="000149F6"/>
    <w:rsid w:val="00016EA5"/>
    <w:rsid w:val="00020C4E"/>
    <w:rsid w:val="00022A26"/>
    <w:rsid w:val="000249E4"/>
    <w:rsid w:val="00027226"/>
    <w:rsid w:val="0003186F"/>
    <w:rsid w:val="00031D44"/>
    <w:rsid w:val="00033E66"/>
    <w:rsid w:val="000350BA"/>
    <w:rsid w:val="00041A51"/>
    <w:rsid w:val="00044BD3"/>
    <w:rsid w:val="00051C21"/>
    <w:rsid w:val="00057E41"/>
    <w:rsid w:val="00067FA2"/>
    <w:rsid w:val="0007566C"/>
    <w:rsid w:val="00076DA1"/>
    <w:rsid w:val="00082C6A"/>
    <w:rsid w:val="00084692"/>
    <w:rsid w:val="000852C3"/>
    <w:rsid w:val="000926D0"/>
    <w:rsid w:val="000930BD"/>
    <w:rsid w:val="000971C6"/>
    <w:rsid w:val="000A0608"/>
    <w:rsid w:val="000A4A2E"/>
    <w:rsid w:val="000B537A"/>
    <w:rsid w:val="000C1B8E"/>
    <w:rsid w:val="000C25C6"/>
    <w:rsid w:val="000D2A21"/>
    <w:rsid w:val="000F56A7"/>
    <w:rsid w:val="000F5FA4"/>
    <w:rsid w:val="001003DA"/>
    <w:rsid w:val="0010276D"/>
    <w:rsid w:val="00105E42"/>
    <w:rsid w:val="00105F47"/>
    <w:rsid w:val="0011105F"/>
    <w:rsid w:val="00122E31"/>
    <w:rsid w:val="00125468"/>
    <w:rsid w:val="0012556B"/>
    <w:rsid w:val="00126CD6"/>
    <w:rsid w:val="00127916"/>
    <w:rsid w:val="001357CB"/>
    <w:rsid w:val="00140F45"/>
    <w:rsid w:val="00146FFC"/>
    <w:rsid w:val="001522DC"/>
    <w:rsid w:val="001577C0"/>
    <w:rsid w:val="00163017"/>
    <w:rsid w:val="00174450"/>
    <w:rsid w:val="00174D06"/>
    <w:rsid w:val="001802A6"/>
    <w:rsid w:val="001802F7"/>
    <w:rsid w:val="0018174C"/>
    <w:rsid w:val="00182C95"/>
    <w:rsid w:val="00186EAD"/>
    <w:rsid w:val="0019253D"/>
    <w:rsid w:val="00193912"/>
    <w:rsid w:val="001A3BA4"/>
    <w:rsid w:val="001A5BDA"/>
    <w:rsid w:val="001A66EE"/>
    <w:rsid w:val="001B011E"/>
    <w:rsid w:val="001B422D"/>
    <w:rsid w:val="001B6845"/>
    <w:rsid w:val="001C34A3"/>
    <w:rsid w:val="001C56B6"/>
    <w:rsid w:val="001C6FF3"/>
    <w:rsid w:val="001D1A33"/>
    <w:rsid w:val="001D3026"/>
    <w:rsid w:val="001D3AC4"/>
    <w:rsid w:val="001D749C"/>
    <w:rsid w:val="001E735E"/>
    <w:rsid w:val="001F0129"/>
    <w:rsid w:val="001F6B04"/>
    <w:rsid w:val="002038E9"/>
    <w:rsid w:val="002048F7"/>
    <w:rsid w:val="0020781B"/>
    <w:rsid w:val="00211734"/>
    <w:rsid w:val="002120DA"/>
    <w:rsid w:val="00212436"/>
    <w:rsid w:val="00212DA3"/>
    <w:rsid w:val="00215093"/>
    <w:rsid w:val="00221645"/>
    <w:rsid w:val="002406C9"/>
    <w:rsid w:val="00241CA1"/>
    <w:rsid w:val="00242207"/>
    <w:rsid w:val="002440B5"/>
    <w:rsid w:val="00244561"/>
    <w:rsid w:val="0025058B"/>
    <w:rsid w:val="0025153E"/>
    <w:rsid w:val="002560EA"/>
    <w:rsid w:val="00256728"/>
    <w:rsid w:val="00261A67"/>
    <w:rsid w:val="00266BBD"/>
    <w:rsid w:val="00270734"/>
    <w:rsid w:val="00273F43"/>
    <w:rsid w:val="0028364D"/>
    <w:rsid w:val="00284744"/>
    <w:rsid w:val="00287111"/>
    <w:rsid w:val="002930BB"/>
    <w:rsid w:val="002979F3"/>
    <w:rsid w:val="002A1099"/>
    <w:rsid w:val="002A132B"/>
    <w:rsid w:val="002A25D2"/>
    <w:rsid w:val="002A50D7"/>
    <w:rsid w:val="002B4028"/>
    <w:rsid w:val="002B5447"/>
    <w:rsid w:val="002B5BAA"/>
    <w:rsid w:val="002B5CB8"/>
    <w:rsid w:val="002B6FA9"/>
    <w:rsid w:val="002D08D2"/>
    <w:rsid w:val="002D411C"/>
    <w:rsid w:val="002D48B0"/>
    <w:rsid w:val="002D5E91"/>
    <w:rsid w:val="002E0187"/>
    <w:rsid w:val="002E6C35"/>
    <w:rsid w:val="002E6E97"/>
    <w:rsid w:val="002F3902"/>
    <w:rsid w:val="002F4CB3"/>
    <w:rsid w:val="002F7BE5"/>
    <w:rsid w:val="003025C8"/>
    <w:rsid w:val="00302764"/>
    <w:rsid w:val="0030378D"/>
    <w:rsid w:val="00304208"/>
    <w:rsid w:val="0030538D"/>
    <w:rsid w:val="003062ED"/>
    <w:rsid w:val="00310739"/>
    <w:rsid w:val="003144F9"/>
    <w:rsid w:val="00320AA1"/>
    <w:rsid w:val="00321A71"/>
    <w:rsid w:val="0032334C"/>
    <w:rsid w:val="00327CED"/>
    <w:rsid w:val="00332255"/>
    <w:rsid w:val="00335C83"/>
    <w:rsid w:val="00335E84"/>
    <w:rsid w:val="00336227"/>
    <w:rsid w:val="00336861"/>
    <w:rsid w:val="003448FA"/>
    <w:rsid w:val="00345055"/>
    <w:rsid w:val="0034618C"/>
    <w:rsid w:val="003503DE"/>
    <w:rsid w:val="003534B8"/>
    <w:rsid w:val="003536D0"/>
    <w:rsid w:val="003546DD"/>
    <w:rsid w:val="003558D2"/>
    <w:rsid w:val="00357C0C"/>
    <w:rsid w:val="00361553"/>
    <w:rsid w:val="00363FA9"/>
    <w:rsid w:val="003644AF"/>
    <w:rsid w:val="00364722"/>
    <w:rsid w:val="0036513B"/>
    <w:rsid w:val="00370A83"/>
    <w:rsid w:val="00380B49"/>
    <w:rsid w:val="00386B0F"/>
    <w:rsid w:val="00387935"/>
    <w:rsid w:val="00394CEF"/>
    <w:rsid w:val="00396F31"/>
    <w:rsid w:val="003A0531"/>
    <w:rsid w:val="003A212C"/>
    <w:rsid w:val="003A5C57"/>
    <w:rsid w:val="003B5705"/>
    <w:rsid w:val="003C5F71"/>
    <w:rsid w:val="003C628D"/>
    <w:rsid w:val="003C6F13"/>
    <w:rsid w:val="003D06D6"/>
    <w:rsid w:val="003D1350"/>
    <w:rsid w:val="003D206B"/>
    <w:rsid w:val="003D214E"/>
    <w:rsid w:val="003D409F"/>
    <w:rsid w:val="003D59C7"/>
    <w:rsid w:val="003D5EA4"/>
    <w:rsid w:val="003E299F"/>
    <w:rsid w:val="003F2BCC"/>
    <w:rsid w:val="003F66C1"/>
    <w:rsid w:val="003F6FE5"/>
    <w:rsid w:val="00401063"/>
    <w:rsid w:val="004071F2"/>
    <w:rsid w:val="0041159C"/>
    <w:rsid w:val="00413564"/>
    <w:rsid w:val="00416802"/>
    <w:rsid w:val="00437255"/>
    <w:rsid w:val="00444CC8"/>
    <w:rsid w:val="004451DA"/>
    <w:rsid w:val="00450A90"/>
    <w:rsid w:val="00451323"/>
    <w:rsid w:val="00451B91"/>
    <w:rsid w:val="00457D49"/>
    <w:rsid w:val="00457F41"/>
    <w:rsid w:val="004606B5"/>
    <w:rsid w:val="00462E3B"/>
    <w:rsid w:val="00463042"/>
    <w:rsid w:val="00467927"/>
    <w:rsid w:val="00467E88"/>
    <w:rsid w:val="0047074B"/>
    <w:rsid w:val="00471B87"/>
    <w:rsid w:val="00483184"/>
    <w:rsid w:val="00491DA5"/>
    <w:rsid w:val="00492409"/>
    <w:rsid w:val="00492DF7"/>
    <w:rsid w:val="00494B6E"/>
    <w:rsid w:val="00494C35"/>
    <w:rsid w:val="0049652D"/>
    <w:rsid w:val="004A1F9E"/>
    <w:rsid w:val="004A6D36"/>
    <w:rsid w:val="004A7820"/>
    <w:rsid w:val="004B1089"/>
    <w:rsid w:val="004B1B9D"/>
    <w:rsid w:val="004B7984"/>
    <w:rsid w:val="004C06BC"/>
    <w:rsid w:val="004C1847"/>
    <w:rsid w:val="004C3960"/>
    <w:rsid w:val="004D12B6"/>
    <w:rsid w:val="004D2E96"/>
    <w:rsid w:val="004D4DA4"/>
    <w:rsid w:val="004D6C48"/>
    <w:rsid w:val="004D7C22"/>
    <w:rsid w:val="004E2D1F"/>
    <w:rsid w:val="004F2318"/>
    <w:rsid w:val="004F3018"/>
    <w:rsid w:val="00500AA5"/>
    <w:rsid w:val="00502F5A"/>
    <w:rsid w:val="005066EA"/>
    <w:rsid w:val="00507AC9"/>
    <w:rsid w:val="0051320A"/>
    <w:rsid w:val="00536053"/>
    <w:rsid w:val="005457CD"/>
    <w:rsid w:val="00545BD3"/>
    <w:rsid w:val="0054733F"/>
    <w:rsid w:val="0055259C"/>
    <w:rsid w:val="00556D89"/>
    <w:rsid w:val="005667D2"/>
    <w:rsid w:val="00570688"/>
    <w:rsid w:val="00571FA2"/>
    <w:rsid w:val="0058157C"/>
    <w:rsid w:val="00582ADF"/>
    <w:rsid w:val="00590D50"/>
    <w:rsid w:val="00591E5F"/>
    <w:rsid w:val="00593F83"/>
    <w:rsid w:val="0059700D"/>
    <w:rsid w:val="00597A63"/>
    <w:rsid w:val="005A0204"/>
    <w:rsid w:val="005A2C76"/>
    <w:rsid w:val="005A55AD"/>
    <w:rsid w:val="005B3F56"/>
    <w:rsid w:val="005B5201"/>
    <w:rsid w:val="005B5B2A"/>
    <w:rsid w:val="005B61E9"/>
    <w:rsid w:val="005C3932"/>
    <w:rsid w:val="005C3AFC"/>
    <w:rsid w:val="005C6177"/>
    <w:rsid w:val="005D21CC"/>
    <w:rsid w:val="005D2255"/>
    <w:rsid w:val="005D5041"/>
    <w:rsid w:val="005D5FDF"/>
    <w:rsid w:val="005E0792"/>
    <w:rsid w:val="005E2C67"/>
    <w:rsid w:val="005E6243"/>
    <w:rsid w:val="005F4D02"/>
    <w:rsid w:val="005F7DCE"/>
    <w:rsid w:val="00600685"/>
    <w:rsid w:val="00604DEB"/>
    <w:rsid w:val="00611FB5"/>
    <w:rsid w:val="00612DA9"/>
    <w:rsid w:val="0061578D"/>
    <w:rsid w:val="00624BCA"/>
    <w:rsid w:val="00625D0F"/>
    <w:rsid w:val="0062671A"/>
    <w:rsid w:val="00627D42"/>
    <w:rsid w:val="00635F58"/>
    <w:rsid w:val="00636DF7"/>
    <w:rsid w:val="00642908"/>
    <w:rsid w:val="006510C7"/>
    <w:rsid w:val="00651CB8"/>
    <w:rsid w:val="00653491"/>
    <w:rsid w:val="00657D31"/>
    <w:rsid w:val="00666020"/>
    <w:rsid w:val="006674E7"/>
    <w:rsid w:val="00667A4F"/>
    <w:rsid w:val="006726C8"/>
    <w:rsid w:val="00673C27"/>
    <w:rsid w:val="00682D25"/>
    <w:rsid w:val="006910AD"/>
    <w:rsid w:val="00691EA8"/>
    <w:rsid w:val="006A072C"/>
    <w:rsid w:val="006A1590"/>
    <w:rsid w:val="006A29AF"/>
    <w:rsid w:val="006A4718"/>
    <w:rsid w:val="006B0D29"/>
    <w:rsid w:val="006B4074"/>
    <w:rsid w:val="006B6943"/>
    <w:rsid w:val="006B7809"/>
    <w:rsid w:val="006B7C6E"/>
    <w:rsid w:val="006C0322"/>
    <w:rsid w:val="006C15AB"/>
    <w:rsid w:val="006C448F"/>
    <w:rsid w:val="006D1139"/>
    <w:rsid w:val="006D5881"/>
    <w:rsid w:val="006D606E"/>
    <w:rsid w:val="006E4696"/>
    <w:rsid w:val="006E515F"/>
    <w:rsid w:val="006E788C"/>
    <w:rsid w:val="006E7D25"/>
    <w:rsid w:val="006F33BE"/>
    <w:rsid w:val="006F5FB1"/>
    <w:rsid w:val="006F6CD1"/>
    <w:rsid w:val="007011FE"/>
    <w:rsid w:val="007035C1"/>
    <w:rsid w:val="00706A8B"/>
    <w:rsid w:val="007149D2"/>
    <w:rsid w:val="00735B52"/>
    <w:rsid w:val="00736AF6"/>
    <w:rsid w:val="00741026"/>
    <w:rsid w:val="00741C2A"/>
    <w:rsid w:val="0074357A"/>
    <w:rsid w:val="007459C4"/>
    <w:rsid w:val="00746786"/>
    <w:rsid w:val="00751CAD"/>
    <w:rsid w:val="00767D4B"/>
    <w:rsid w:val="00770495"/>
    <w:rsid w:val="00770E5E"/>
    <w:rsid w:val="007744F1"/>
    <w:rsid w:val="00783523"/>
    <w:rsid w:val="007920A1"/>
    <w:rsid w:val="007A50F8"/>
    <w:rsid w:val="007B1600"/>
    <w:rsid w:val="007B1A93"/>
    <w:rsid w:val="007B68E5"/>
    <w:rsid w:val="007D3093"/>
    <w:rsid w:val="007D34AA"/>
    <w:rsid w:val="007D36E2"/>
    <w:rsid w:val="007D58CC"/>
    <w:rsid w:val="007E00E3"/>
    <w:rsid w:val="007E203E"/>
    <w:rsid w:val="007E381D"/>
    <w:rsid w:val="007E4FAF"/>
    <w:rsid w:val="007E56B8"/>
    <w:rsid w:val="007E5B37"/>
    <w:rsid w:val="007E7A66"/>
    <w:rsid w:val="007F1707"/>
    <w:rsid w:val="007F6BE4"/>
    <w:rsid w:val="00803008"/>
    <w:rsid w:val="0080399C"/>
    <w:rsid w:val="008039C7"/>
    <w:rsid w:val="008042D0"/>
    <w:rsid w:val="00811743"/>
    <w:rsid w:val="00814AB9"/>
    <w:rsid w:val="00816C71"/>
    <w:rsid w:val="008237B3"/>
    <w:rsid w:val="00824838"/>
    <w:rsid w:val="00824EE4"/>
    <w:rsid w:val="00825374"/>
    <w:rsid w:val="008262A5"/>
    <w:rsid w:val="008272FA"/>
    <w:rsid w:val="00827444"/>
    <w:rsid w:val="00827559"/>
    <w:rsid w:val="00832098"/>
    <w:rsid w:val="008322E7"/>
    <w:rsid w:val="00833356"/>
    <w:rsid w:val="00836953"/>
    <w:rsid w:val="00844483"/>
    <w:rsid w:val="00846590"/>
    <w:rsid w:val="008468A7"/>
    <w:rsid w:val="00850755"/>
    <w:rsid w:val="00850FAC"/>
    <w:rsid w:val="00851A38"/>
    <w:rsid w:val="00854A4C"/>
    <w:rsid w:val="0086494F"/>
    <w:rsid w:val="00865489"/>
    <w:rsid w:val="00877D56"/>
    <w:rsid w:val="00883B30"/>
    <w:rsid w:val="00884897"/>
    <w:rsid w:val="00885A33"/>
    <w:rsid w:val="00890DB4"/>
    <w:rsid w:val="008925E5"/>
    <w:rsid w:val="008933EA"/>
    <w:rsid w:val="00895217"/>
    <w:rsid w:val="00895D5B"/>
    <w:rsid w:val="008A7CEC"/>
    <w:rsid w:val="008B27DC"/>
    <w:rsid w:val="008B2B3A"/>
    <w:rsid w:val="008B4DF0"/>
    <w:rsid w:val="008B6388"/>
    <w:rsid w:val="008C115D"/>
    <w:rsid w:val="008D0931"/>
    <w:rsid w:val="008D3570"/>
    <w:rsid w:val="008D6D32"/>
    <w:rsid w:val="008E04B0"/>
    <w:rsid w:val="008E1AB0"/>
    <w:rsid w:val="008E65B0"/>
    <w:rsid w:val="008F0AE4"/>
    <w:rsid w:val="008F7C33"/>
    <w:rsid w:val="00901730"/>
    <w:rsid w:val="00905FE9"/>
    <w:rsid w:val="0091029A"/>
    <w:rsid w:val="00914DAF"/>
    <w:rsid w:val="009152A3"/>
    <w:rsid w:val="00921728"/>
    <w:rsid w:val="00926F0B"/>
    <w:rsid w:val="00927B56"/>
    <w:rsid w:val="00930DBF"/>
    <w:rsid w:val="00930EFC"/>
    <w:rsid w:val="009376B3"/>
    <w:rsid w:val="00944F16"/>
    <w:rsid w:val="00946CA1"/>
    <w:rsid w:val="00947C86"/>
    <w:rsid w:val="00950C33"/>
    <w:rsid w:val="00952468"/>
    <w:rsid w:val="00957449"/>
    <w:rsid w:val="00957D4E"/>
    <w:rsid w:val="00960828"/>
    <w:rsid w:val="00961ED3"/>
    <w:rsid w:val="00964F31"/>
    <w:rsid w:val="009660FF"/>
    <w:rsid w:val="009664C0"/>
    <w:rsid w:val="009732FF"/>
    <w:rsid w:val="00973EA8"/>
    <w:rsid w:val="009747FE"/>
    <w:rsid w:val="009761D0"/>
    <w:rsid w:val="00976EEB"/>
    <w:rsid w:val="00981A45"/>
    <w:rsid w:val="00992574"/>
    <w:rsid w:val="009A2778"/>
    <w:rsid w:val="009A5820"/>
    <w:rsid w:val="009A6F7B"/>
    <w:rsid w:val="009B05E8"/>
    <w:rsid w:val="009D6FC2"/>
    <w:rsid w:val="009D7156"/>
    <w:rsid w:val="009E1D44"/>
    <w:rsid w:val="009E47FD"/>
    <w:rsid w:val="009F1582"/>
    <w:rsid w:val="009F2913"/>
    <w:rsid w:val="00A02369"/>
    <w:rsid w:val="00A02C87"/>
    <w:rsid w:val="00A0443E"/>
    <w:rsid w:val="00A049C3"/>
    <w:rsid w:val="00A07BAE"/>
    <w:rsid w:val="00A22571"/>
    <w:rsid w:val="00A23757"/>
    <w:rsid w:val="00A27D33"/>
    <w:rsid w:val="00A33E75"/>
    <w:rsid w:val="00A350B5"/>
    <w:rsid w:val="00A35311"/>
    <w:rsid w:val="00A42DEF"/>
    <w:rsid w:val="00A433E0"/>
    <w:rsid w:val="00A54FB2"/>
    <w:rsid w:val="00A55F57"/>
    <w:rsid w:val="00A6158D"/>
    <w:rsid w:val="00A72526"/>
    <w:rsid w:val="00A73706"/>
    <w:rsid w:val="00A73D3D"/>
    <w:rsid w:val="00A7565D"/>
    <w:rsid w:val="00A84B6F"/>
    <w:rsid w:val="00A91D4B"/>
    <w:rsid w:val="00A9276D"/>
    <w:rsid w:val="00A929E6"/>
    <w:rsid w:val="00A95718"/>
    <w:rsid w:val="00AA2158"/>
    <w:rsid w:val="00AB0E25"/>
    <w:rsid w:val="00AB23B4"/>
    <w:rsid w:val="00AB3B31"/>
    <w:rsid w:val="00AB47CF"/>
    <w:rsid w:val="00AC0CA1"/>
    <w:rsid w:val="00AC3F96"/>
    <w:rsid w:val="00AC5884"/>
    <w:rsid w:val="00AD097F"/>
    <w:rsid w:val="00AD3029"/>
    <w:rsid w:val="00AE07EF"/>
    <w:rsid w:val="00AF4CEC"/>
    <w:rsid w:val="00AF52F2"/>
    <w:rsid w:val="00AF5D4B"/>
    <w:rsid w:val="00B0479E"/>
    <w:rsid w:val="00B118C8"/>
    <w:rsid w:val="00B132AD"/>
    <w:rsid w:val="00B13D6B"/>
    <w:rsid w:val="00B13DB3"/>
    <w:rsid w:val="00B21DC2"/>
    <w:rsid w:val="00B2215B"/>
    <w:rsid w:val="00B3208C"/>
    <w:rsid w:val="00B37425"/>
    <w:rsid w:val="00B403E6"/>
    <w:rsid w:val="00B40F90"/>
    <w:rsid w:val="00B41068"/>
    <w:rsid w:val="00B4738E"/>
    <w:rsid w:val="00B51458"/>
    <w:rsid w:val="00B72FB5"/>
    <w:rsid w:val="00B7481B"/>
    <w:rsid w:val="00B91A07"/>
    <w:rsid w:val="00B94CE9"/>
    <w:rsid w:val="00B95AE2"/>
    <w:rsid w:val="00BA7181"/>
    <w:rsid w:val="00BB0E6B"/>
    <w:rsid w:val="00BB1325"/>
    <w:rsid w:val="00BB4B77"/>
    <w:rsid w:val="00BB6137"/>
    <w:rsid w:val="00BB7136"/>
    <w:rsid w:val="00BC247B"/>
    <w:rsid w:val="00BE6D74"/>
    <w:rsid w:val="00BF0CE9"/>
    <w:rsid w:val="00C035D1"/>
    <w:rsid w:val="00C050FF"/>
    <w:rsid w:val="00C063C8"/>
    <w:rsid w:val="00C07A86"/>
    <w:rsid w:val="00C13294"/>
    <w:rsid w:val="00C20F55"/>
    <w:rsid w:val="00C2351F"/>
    <w:rsid w:val="00C24DB2"/>
    <w:rsid w:val="00C26B94"/>
    <w:rsid w:val="00C414CD"/>
    <w:rsid w:val="00C436D9"/>
    <w:rsid w:val="00C447D7"/>
    <w:rsid w:val="00C46536"/>
    <w:rsid w:val="00C518A7"/>
    <w:rsid w:val="00C56AF9"/>
    <w:rsid w:val="00C707B0"/>
    <w:rsid w:val="00C714C3"/>
    <w:rsid w:val="00C7464B"/>
    <w:rsid w:val="00C747D2"/>
    <w:rsid w:val="00C766BC"/>
    <w:rsid w:val="00C801EF"/>
    <w:rsid w:val="00C8525C"/>
    <w:rsid w:val="00C86CBB"/>
    <w:rsid w:val="00C8745B"/>
    <w:rsid w:val="00C916AF"/>
    <w:rsid w:val="00C92978"/>
    <w:rsid w:val="00C93E4D"/>
    <w:rsid w:val="00C97FB7"/>
    <w:rsid w:val="00CA2293"/>
    <w:rsid w:val="00CA256D"/>
    <w:rsid w:val="00CA6C34"/>
    <w:rsid w:val="00CA7074"/>
    <w:rsid w:val="00CA7A08"/>
    <w:rsid w:val="00CB26B8"/>
    <w:rsid w:val="00CB3720"/>
    <w:rsid w:val="00CB5061"/>
    <w:rsid w:val="00CC100D"/>
    <w:rsid w:val="00CC11FF"/>
    <w:rsid w:val="00CC1CFC"/>
    <w:rsid w:val="00CC1F7B"/>
    <w:rsid w:val="00CD397F"/>
    <w:rsid w:val="00CD4254"/>
    <w:rsid w:val="00CD5546"/>
    <w:rsid w:val="00CD6B53"/>
    <w:rsid w:val="00CD76F0"/>
    <w:rsid w:val="00CD7D2D"/>
    <w:rsid w:val="00CE0E37"/>
    <w:rsid w:val="00CE2497"/>
    <w:rsid w:val="00D005D3"/>
    <w:rsid w:val="00D111D8"/>
    <w:rsid w:val="00D174DC"/>
    <w:rsid w:val="00D17F66"/>
    <w:rsid w:val="00D207CE"/>
    <w:rsid w:val="00D26844"/>
    <w:rsid w:val="00D27285"/>
    <w:rsid w:val="00D3081F"/>
    <w:rsid w:val="00D34C73"/>
    <w:rsid w:val="00D41185"/>
    <w:rsid w:val="00D41A50"/>
    <w:rsid w:val="00D42B0C"/>
    <w:rsid w:val="00D42C11"/>
    <w:rsid w:val="00D5023C"/>
    <w:rsid w:val="00D511EA"/>
    <w:rsid w:val="00D52861"/>
    <w:rsid w:val="00D54C95"/>
    <w:rsid w:val="00D553E3"/>
    <w:rsid w:val="00D567F6"/>
    <w:rsid w:val="00D6018D"/>
    <w:rsid w:val="00D6126C"/>
    <w:rsid w:val="00D61E9E"/>
    <w:rsid w:val="00D67468"/>
    <w:rsid w:val="00D72C0E"/>
    <w:rsid w:val="00D7648A"/>
    <w:rsid w:val="00D76FD5"/>
    <w:rsid w:val="00D8123D"/>
    <w:rsid w:val="00D8124F"/>
    <w:rsid w:val="00D81BCC"/>
    <w:rsid w:val="00D843C2"/>
    <w:rsid w:val="00D8498E"/>
    <w:rsid w:val="00D94FFC"/>
    <w:rsid w:val="00D9681B"/>
    <w:rsid w:val="00D97AF1"/>
    <w:rsid w:val="00DA1848"/>
    <w:rsid w:val="00DA21D3"/>
    <w:rsid w:val="00DA55D2"/>
    <w:rsid w:val="00DB0A58"/>
    <w:rsid w:val="00DB5391"/>
    <w:rsid w:val="00DC0CBE"/>
    <w:rsid w:val="00DC495B"/>
    <w:rsid w:val="00DC727F"/>
    <w:rsid w:val="00DD22CD"/>
    <w:rsid w:val="00DD385A"/>
    <w:rsid w:val="00DD6A68"/>
    <w:rsid w:val="00DE10C0"/>
    <w:rsid w:val="00DE2DF8"/>
    <w:rsid w:val="00DE350B"/>
    <w:rsid w:val="00DE50FA"/>
    <w:rsid w:val="00DE74ED"/>
    <w:rsid w:val="00DE7F16"/>
    <w:rsid w:val="00DF0BF1"/>
    <w:rsid w:val="00DF2A5A"/>
    <w:rsid w:val="00DF3A02"/>
    <w:rsid w:val="00DF4418"/>
    <w:rsid w:val="00DF4702"/>
    <w:rsid w:val="00DF4A48"/>
    <w:rsid w:val="00DF7377"/>
    <w:rsid w:val="00DF7CDA"/>
    <w:rsid w:val="00E0252C"/>
    <w:rsid w:val="00E06814"/>
    <w:rsid w:val="00E12FCF"/>
    <w:rsid w:val="00E16C6D"/>
    <w:rsid w:val="00E16D95"/>
    <w:rsid w:val="00E1776D"/>
    <w:rsid w:val="00E2081B"/>
    <w:rsid w:val="00E312E7"/>
    <w:rsid w:val="00E31A05"/>
    <w:rsid w:val="00E328A9"/>
    <w:rsid w:val="00E33E7E"/>
    <w:rsid w:val="00E43A1B"/>
    <w:rsid w:val="00E44FC1"/>
    <w:rsid w:val="00E5019D"/>
    <w:rsid w:val="00E532A2"/>
    <w:rsid w:val="00E53577"/>
    <w:rsid w:val="00E5485A"/>
    <w:rsid w:val="00E57482"/>
    <w:rsid w:val="00E62C94"/>
    <w:rsid w:val="00E630A1"/>
    <w:rsid w:val="00E64B37"/>
    <w:rsid w:val="00E6666E"/>
    <w:rsid w:val="00E701DA"/>
    <w:rsid w:val="00E70AAD"/>
    <w:rsid w:val="00E74B9B"/>
    <w:rsid w:val="00E76980"/>
    <w:rsid w:val="00E91539"/>
    <w:rsid w:val="00E956D9"/>
    <w:rsid w:val="00EA706B"/>
    <w:rsid w:val="00EB1274"/>
    <w:rsid w:val="00EB6B05"/>
    <w:rsid w:val="00EC3DBF"/>
    <w:rsid w:val="00EC5C9F"/>
    <w:rsid w:val="00ED686B"/>
    <w:rsid w:val="00EE0067"/>
    <w:rsid w:val="00EE09E4"/>
    <w:rsid w:val="00EF0B61"/>
    <w:rsid w:val="00EF23B8"/>
    <w:rsid w:val="00EF27DE"/>
    <w:rsid w:val="00F07656"/>
    <w:rsid w:val="00F103DA"/>
    <w:rsid w:val="00F1116A"/>
    <w:rsid w:val="00F13666"/>
    <w:rsid w:val="00F14376"/>
    <w:rsid w:val="00F15E92"/>
    <w:rsid w:val="00F22F11"/>
    <w:rsid w:val="00F25B8E"/>
    <w:rsid w:val="00F30B7E"/>
    <w:rsid w:val="00F518AF"/>
    <w:rsid w:val="00F520E2"/>
    <w:rsid w:val="00F52E17"/>
    <w:rsid w:val="00F545A4"/>
    <w:rsid w:val="00F55AD1"/>
    <w:rsid w:val="00F605CD"/>
    <w:rsid w:val="00F60BD2"/>
    <w:rsid w:val="00F60C61"/>
    <w:rsid w:val="00F64F3F"/>
    <w:rsid w:val="00F650D8"/>
    <w:rsid w:val="00F678E4"/>
    <w:rsid w:val="00F721EC"/>
    <w:rsid w:val="00F75488"/>
    <w:rsid w:val="00F75F00"/>
    <w:rsid w:val="00F83F8A"/>
    <w:rsid w:val="00F8552B"/>
    <w:rsid w:val="00F85B0B"/>
    <w:rsid w:val="00F85E05"/>
    <w:rsid w:val="00F865D9"/>
    <w:rsid w:val="00F906EF"/>
    <w:rsid w:val="00F92B08"/>
    <w:rsid w:val="00F9461C"/>
    <w:rsid w:val="00FA14E8"/>
    <w:rsid w:val="00FA2F9B"/>
    <w:rsid w:val="00FA78F6"/>
    <w:rsid w:val="00FB71EC"/>
    <w:rsid w:val="00FC3941"/>
    <w:rsid w:val="00FC5BDA"/>
    <w:rsid w:val="00FC6743"/>
    <w:rsid w:val="00FC729B"/>
    <w:rsid w:val="00FD16DA"/>
    <w:rsid w:val="00FD5068"/>
    <w:rsid w:val="00FE045C"/>
    <w:rsid w:val="00FE54A3"/>
    <w:rsid w:val="00FE673D"/>
    <w:rsid w:val="00FE7A98"/>
    <w:rsid w:val="00FF0CDC"/>
    <w:rsid w:val="00FF1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link w:val="30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6861"/>
    <w:rPr>
      <w:b/>
      <w:bCs/>
      <w:sz w:val="26"/>
      <w:szCs w:val="24"/>
    </w:rPr>
  </w:style>
  <w:style w:type="character" w:customStyle="1" w:styleId="30">
    <w:name w:val="Основной текст 3 Знак"/>
    <w:basedOn w:val="a0"/>
    <w:link w:val="3"/>
    <w:rsid w:val="0033686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5AD"/>
    <w:rPr>
      <w:sz w:val="24"/>
      <w:szCs w:val="24"/>
    </w:rPr>
  </w:style>
  <w:style w:type="paragraph" w:styleId="2">
    <w:name w:val="heading 2"/>
    <w:basedOn w:val="a"/>
    <w:next w:val="a"/>
    <w:qFormat/>
    <w:rsid w:val="00CD5546"/>
    <w:pPr>
      <w:keepNext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10C7"/>
    <w:pPr>
      <w:jc w:val="both"/>
    </w:pPr>
    <w:rPr>
      <w:sz w:val="26"/>
    </w:rPr>
  </w:style>
  <w:style w:type="paragraph" w:styleId="3">
    <w:name w:val="Body Text 3"/>
    <w:basedOn w:val="a"/>
    <w:rsid w:val="00CD5546"/>
    <w:pPr>
      <w:spacing w:after="120"/>
    </w:pPr>
    <w:rPr>
      <w:sz w:val="16"/>
      <w:szCs w:val="16"/>
    </w:rPr>
  </w:style>
  <w:style w:type="paragraph" w:styleId="a4">
    <w:name w:val="caption"/>
    <w:basedOn w:val="a"/>
    <w:next w:val="a"/>
    <w:qFormat/>
    <w:rsid w:val="00CD5546"/>
    <w:pPr>
      <w:jc w:val="center"/>
    </w:pPr>
    <w:rPr>
      <w:b/>
      <w:bCs/>
    </w:rPr>
  </w:style>
  <w:style w:type="paragraph" w:styleId="a5">
    <w:name w:val="List Paragraph"/>
    <w:basedOn w:val="a"/>
    <w:qFormat/>
    <w:rsid w:val="00CD55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rsid w:val="003D206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D206B"/>
  </w:style>
  <w:style w:type="paragraph" w:styleId="a8">
    <w:name w:val="header"/>
    <w:basedOn w:val="a"/>
    <w:link w:val="a9"/>
    <w:rsid w:val="002930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930BB"/>
    <w:rPr>
      <w:sz w:val="24"/>
      <w:szCs w:val="24"/>
    </w:rPr>
  </w:style>
  <w:style w:type="table" w:styleId="aa">
    <w:name w:val="Table Grid"/>
    <w:basedOn w:val="a1"/>
    <w:rsid w:val="003107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82D25"/>
    <w:pPr>
      <w:spacing w:before="100" w:beforeAutospacing="1" w:after="100" w:afterAutospacing="1"/>
    </w:pPr>
  </w:style>
  <w:style w:type="paragraph" w:styleId="ac">
    <w:name w:val="Balloon Text"/>
    <w:basedOn w:val="a"/>
    <w:link w:val="ad"/>
    <w:rsid w:val="002A13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A1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146B0-4781-4479-A8B3-E92A4B38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 О РАБОТЕ</vt:lpstr>
    </vt:vector>
  </TitlesOfParts>
  <Company>Microsoft</Company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 О РАБОТЕ</dc:title>
  <dc:creator>Admin</dc:creator>
  <cp:lastModifiedBy>Романова Марина Александровна</cp:lastModifiedBy>
  <cp:revision>18</cp:revision>
  <cp:lastPrinted>2019-12-24T13:37:00Z</cp:lastPrinted>
  <dcterms:created xsi:type="dcterms:W3CDTF">2018-12-10T08:40:00Z</dcterms:created>
  <dcterms:modified xsi:type="dcterms:W3CDTF">2019-12-24T13:37:00Z</dcterms:modified>
</cp:coreProperties>
</file>