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C9" w:rsidRDefault="00E70AC9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E70AC9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E70AC9" w:rsidRPr="005B5B2A" w:rsidRDefault="00E70AC9" w:rsidP="00AF5D4B">
            <w:pPr>
              <w:jc w:val="both"/>
            </w:pPr>
          </w:p>
        </w:tc>
      </w:tr>
    </w:tbl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E70AC9" w:rsidRDefault="00E066CC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1.25pt;height:50.25pt;visibility:visible">
            <v:imagedata r:id="rId8" o:title=""/>
          </v:shape>
        </w:pict>
      </w:r>
    </w:p>
    <w:p w:rsidR="00E70AC9" w:rsidRDefault="00E70AC9" w:rsidP="00336861">
      <w:pPr>
        <w:pStyle w:val="a5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E70AC9" w:rsidRDefault="00E70AC9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E70AC9" w:rsidRDefault="00E70AC9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E70AC9" w:rsidRDefault="00E70AC9" w:rsidP="00336861">
      <w:pPr>
        <w:jc w:val="center"/>
        <w:rPr>
          <w:b/>
          <w:bCs/>
          <w:sz w:val="28"/>
          <w:szCs w:val="28"/>
        </w:rPr>
      </w:pPr>
    </w:p>
    <w:p w:rsidR="00E70AC9" w:rsidRDefault="00E70AC9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70AC9" w:rsidRDefault="00E70AC9" w:rsidP="00336861">
      <w:pPr>
        <w:rPr>
          <w:sz w:val="28"/>
          <w:szCs w:val="28"/>
        </w:rPr>
      </w:pPr>
    </w:p>
    <w:p w:rsidR="00E70AC9" w:rsidRPr="00D6126C" w:rsidRDefault="00E70AC9" w:rsidP="00336861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26553C">
        <w:rPr>
          <w:b/>
          <w:bCs/>
          <w:sz w:val="28"/>
          <w:szCs w:val="28"/>
        </w:rPr>
        <w:t xml:space="preserve">  24</w:t>
      </w:r>
      <w:r>
        <w:rPr>
          <w:b/>
          <w:bCs/>
          <w:sz w:val="28"/>
          <w:szCs w:val="28"/>
        </w:rPr>
        <w:t xml:space="preserve">.12. </w:t>
      </w:r>
      <w:smartTag w:uri="urn:schemas-microsoft-com:office:smarttags" w:element="metricconverter">
        <w:smartTagPr>
          <w:attr w:name="ProductID" w:val="2019 г"/>
        </w:smartTagPr>
        <w:r>
          <w:rPr>
            <w:b/>
            <w:bCs/>
            <w:sz w:val="28"/>
            <w:szCs w:val="28"/>
          </w:rPr>
          <w:t>2019 г</w:t>
        </w:r>
      </w:smartTag>
      <w:r>
        <w:rPr>
          <w:b/>
          <w:bCs/>
          <w:sz w:val="28"/>
          <w:szCs w:val="28"/>
        </w:rPr>
        <w:t xml:space="preserve">.  </w:t>
      </w:r>
      <w:r w:rsidRPr="003D206B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815AF6">
        <w:rPr>
          <w:b/>
          <w:bCs/>
          <w:sz w:val="28"/>
          <w:szCs w:val="28"/>
        </w:rPr>
        <w:t>331</w:t>
      </w:r>
    </w:p>
    <w:p w:rsidR="00E70AC9" w:rsidRDefault="00E70AC9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E70AC9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E70AC9" w:rsidRDefault="00E70AC9" w:rsidP="003C29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</w:t>
            </w:r>
            <w:r w:rsidR="0026553C">
              <w:rPr>
                <w:sz w:val="28"/>
                <w:szCs w:val="28"/>
              </w:rPr>
              <w:t>олнении своих полномочий за 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E70AC9" w:rsidRPr="00426190" w:rsidRDefault="00E70AC9" w:rsidP="00336861"/>
    <w:p w:rsidR="00E70AC9" w:rsidRDefault="00E70AC9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Заслушав отчет председателя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Р.А.Макурина  о выполнении полномочий постоянной комиссии за 2019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E70AC9" w:rsidRDefault="00E70AC9" w:rsidP="00336861">
      <w:pPr>
        <w:pStyle w:val="3"/>
        <w:rPr>
          <w:sz w:val="28"/>
          <w:szCs w:val="28"/>
        </w:rPr>
      </w:pPr>
    </w:p>
    <w:p w:rsidR="00E70AC9" w:rsidRDefault="00E70AC9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E70AC9" w:rsidRDefault="00E70AC9" w:rsidP="0033686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0AC9" w:rsidRDefault="00E70AC9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4852F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о выполнении своих полномочий за 2019 год (прилагается) утвердить.</w:t>
      </w:r>
    </w:p>
    <w:p w:rsidR="00E70AC9" w:rsidRDefault="00E70AC9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E70AC9" w:rsidRDefault="00E70AC9" w:rsidP="00336861">
      <w:pPr>
        <w:pStyle w:val="3"/>
        <w:rPr>
          <w:sz w:val="28"/>
          <w:szCs w:val="28"/>
        </w:rPr>
      </w:pPr>
    </w:p>
    <w:p w:rsidR="00E70AC9" w:rsidRDefault="00E70AC9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Е.О.Агаева </w:t>
      </w:r>
    </w:p>
    <w:p w:rsidR="00E70AC9" w:rsidRDefault="00E70AC9" w:rsidP="00336861">
      <w:pPr>
        <w:rPr>
          <w:bCs/>
          <w:sz w:val="28"/>
          <w:szCs w:val="28"/>
        </w:rPr>
      </w:pPr>
    </w:p>
    <w:p w:rsidR="00E70AC9" w:rsidRDefault="00E70AC9" w:rsidP="00336861">
      <w:pPr>
        <w:rPr>
          <w:bCs/>
          <w:sz w:val="28"/>
          <w:szCs w:val="28"/>
        </w:rPr>
      </w:pPr>
    </w:p>
    <w:p w:rsidR="00E70AC9" w:rsidRDefault="00E70AC9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E70AC9" w:rsidRPr="005B5B2A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E70AC9" w:rsidRPr="005B5B2A" w:rsidRDefault="00E70AC9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Приложение к решению </w:t>
            </w:r>
          </w:p>
          <w:p w:rsidR="00E70AC9" w:rsidRPr="005B5B2A" w:rsidRDefault="00E70AC9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E70AC9" w:rsidRPr="005B5B2A" w:rsidRDefault="00E70AC9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E70AC9" w:rsidRPr="005B5B2A" w:rsidRDefault="00E70AC9" w:rsidP="003C2995">
            <w:pPr>
              <w:jc w:val="right"/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E70AC9" w:rsidRPr="005B5B2A" w:rsidRDefault="0026553C" w:rsidP="003C2995">
            <w:pPr>
              <w:jc w:val="right"/>
            </w:pPr>
            <w:r>
              <w:rPr>
                <w:sz w:val="22"/>
                <w:szCs w:val="22"/>
              </w:rPr>
              <w:t>от  24</w:t>
            </w:r>
            <w:r w:rsidR="00E70AC9">
              <w:rPr>
                <w:sz w:val="22"/>
                <w:szCs w:val="22"/>
              </w:rPr>
              <w:t xml:space="preserve">.12.2019 г. </w:t>
            </w:r>
            <w:r>
              <w:rPr>
                <w:sz w:val="22"/>
                <w:szCs w:val="22"/>
              </w:rPr>
              <w:t>№</w:t>
            </w:r>
            <w:r w:rsidR="00815AF6">
              <w:rPr>
                <w:sz w:val="22"/>
                <w:szCs w:val="22"/>
              </w:rPr>
              <w:t>331</w:t>
            </w:r>
            <w:bookmarkStart w:id="0" w:name="_GoBack"/>
            <w:bookmarkEnd w:id="0"/>
          </w:p>
        </w:tc>
      </w:tr>
    </w:tbl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Default="00E70AC9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E70AC9" w:rsidRPr="00426190" w:rsidRDefault="00E70AC9" w:rsidP="003C2995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 xml:space="preserve">ОТЧЕТ  ПОСТОЯННОЙ КОМИССИИ </w:t>
      </w:r>
    </w:p>
    <w:p w:rsidR="00E70AC9" w:rsidRPr="00426190" w:rsidRDefault="00E70AC9" w:rsidP="003C2995">
      <w:pPr>
        <w:jc w:val="center"/>
        <w:rPr>
          <w:b/>
          <w:sz w:val="28"/>
          <w:szCs w:val="28"/>
        </w:rPr>
      </w:pPr>
      <w:r w:rsidRPr="00426190">
        <w:rPr>
          <w:b/>
          <w:sz w:val="28"/>
          <w:szCs w:val="28"/>
        </w:rPr>
        <w:t>БОРИСОГЛЕБСКОЙ ГОРОДСКОЙ ДУМЫ  ПО</w:t>
      </w:r>
      <w:r>
        <w:rPr>
          <w:b/>
          <w:sz w:val="28"/>
          <w:szCs w:val="28"/>
        </w:rPr>
        <w:t xml:space="preserve">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Pr="00426190">
        <w:rPr>
          <w:b/>
          <w:sz w:val="28"/>
          <w:szCs w:val="28"/>
        </w:rPr>
        <w:t xml:space="preserve"> О ВЫПОЛНЕНИИ СВОИХ ПОЛНОМОЧИЙ </w:t>
      </w:r>
    </w:p>
    <w:p w:rsidR="00E70AC9" w:rsidRPr="00426190" w:rsidRDefault="00E70AC9" w:rsidP="003C2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2019</w:t>
      </w:r>
      <w:r w:rsidRPr="00426190">
        <w:rPr>
          <w:b/>
          <w:sz w:val="28"/>
          <w:szCs w:val="28"/>
        </w:rPr>
        <w:t xml:space="preserve"> ГОД</w:t>
      </w:r>
    </w:p>
    <w:p w:rsidR="00E70AC9" w:rsidRPr="005B5B2A" w:rsidRDefault="00E70AC9" w:rsidP="003C2995">
      <w:pPr>
        <w:rPr>
          <w:b/>
          <w:sz w:val="28"/>
          <w:szCs w:val="28"/>
        </w:rPr>
      </w:pP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</w:t>
      </w:r>
      <w:r w:rsidRPr="005C61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 постоянная комиссия Борисоглебской городской Думы </w:t>
      </w:r>
      <w:r w:rsidRPr="004F30A4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соблюдения законности и безопасности, развития общественного самоуправления и муниципальной службы, Регламенту и вопросам депутатской этики (далее – комиссия по законности).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Персональный состав  комиссии городской Думы утверждён  Решением Борисоглебской городской Думы № 157 от 25.01.2018г. В состав комиссии по законности, на основании собственного волеизъявления вошли 9 депутатов городской Думы: </w:t>
      </w:r>
      <w:r w:rsidR="00F524E1">
        <w:rPr>
          <w:sz w:val="28"/>
          <w:szCs w:val="28"/>
        </w:rPr>
        <w:t>Макурин Роман Александрович;  Сирооченко Юрий Григорьевич;  Лысенко Любовь Михайловна; Клочков Геннадий Анатольевич; Каверин Владислав Владимирович;  Быков Алексей Владимирович; Грудинин Григорий Михайлович; Мишуков Алексей Валерьевич;</w:t>
      </w:r>
      <w:r>
        <w:rPr>
          <w:sz w:val="28"/>
          <w:szCs w:val="28"/>
        </w:rPr>
        <w:t xml:space="preserve"> Сухинин Александр Анатольевич.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Решением Борисоглебской городской Думы от 25.01.2018 г. № 158 председателем указанной комиссии был избран Макурин Роман Александрович. Из ее состава заместителем председателя комиссии избран Каверин Владислав Владимирович, секретарем комиссии – Лысенко Любовь Михайловна.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В 2019 году к</w:t>
      </w:r>
      <w:r w:rsidRPr="00E54334">
        <w:rPr>
          <w:sz w:val="28"/>
          <w:szCs w:val="28"/>
        </w:rPr>
        <w:t>омиссия по</w:t>
      </w:r>
      <w:r>
        <w:rPr>
          <w:sz w:val="28"/>
          <w:szCs w:val="28"/>
        </w:rPr>
        <w:t xml:space="preserve"> вопросам соблюдения законности и </w:t>
      </w:r>
      <w:r w:rsidRPr="00E54334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, развития общественного самоуправления и муниципальной службы, Регламенту и вопросам депутатской,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</w:t>
      </w:r>
      <w:r w:rsidRPr="00E5433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вопросам соблюдения законности и </w:t>
      </w:r>
      <w:r w:rsidRPr="00E54334">
        <w:rPr>
          <w:sz w:val="28"/>
          <w:szCs w:val="28"/>
        </w:rPr>
        <w:t>безопасности</w:t>
      </w:r>
      <w:r>
        <w:rPr>
          <w:sz w:val="28"/>
          <w:szCs w:val="28"/>
        </w:rPr>
        <w:t>, развития общественного самоуправления и муниципальной службы, Регламенту и вопросам депутатской утвержденным решением Борисоглебской городской Думы от 26.02.2018 г.  № 173.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Комиссия </w:t>
      </w:r>
      <w:r w:rsidRPr="00E54334">
        <w:rPr>
          <w:sz w:val="28"/>
          <w:szCs w:val="28"/>
        </w:rPr>
        <w:t xml:space="preserve">по законности, </w:t>
      </w:r>
      <w:r>
        <w:rPr>
          <w:sz w:val="28"/>
          <w:szCs w:val="28"/>
        </w:rPr>
        <w:t xml:space="preserve">в течение 2019 года работала  в соответствии с  полугодовыми планами, разработанными и утвержденными на заседаниях постоянной комиссии. 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2019 год было проведено девять заседаний комиссии </w:t>
      </w:r>
      <w:r w:rsidRPr="00E54334">
        <w:rPr>
          <w:sz w:val="28"/>
          <w:szCs w:val="28"/>
        </w:rPr>
        <w:t>по законности</w:t>
      </w:r>
      <w:r>
        <w:rPr>
          <w:sz w:val="28"/>
          <w:szCs w:val="28"/>
        </w:rPr>
        <w:t>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E70AC9" w:rsidRPr="00F524E1" w:rsidRDefault="00E70AC9" w:rsidP="00F524E1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Сведения о посещаемости в 2019</w:t>
      </w:r>
      <w:r w:rsidRPr="00310739">
        <w:rPr>
          <w:i/>
          <w:sz w:val="28"/>
          <w:szCs w:val="28"/>
        </w:rPr>
        <w:t xml:space="preserve"> году заседаний  челнами комиссии по </w:t>
      </w:r>
      <w:r>
        <w:rPr>
          <w:i/>
          <w:sz w:val="28"/>
          <w:szCs w:val="28"/>
        </w:rPr>
        <w:t xml:space="preserve">вопросам соблюдения законности и </w:t>
      </w:r>
      <w:r w:rsidRPr="00E54334">
        <w:rPr>
          <w:i/>
          <w:sz w:val="28"/>
          <w:szCs w:val="28"/>
        </w:rPr>
        <w:t>безопасности</w:t>
      </w:r>
      <w:r>
        <w:rPr>
          <w:i/>
          <w:sz w:val="28"/>
          <w:szCs w:val="28"/>
        </w:rPr>
        <w:t xml:space="preserve"> развития общественного самоуправления и муниципальной службы, Регламенту и вопросам депутатской этики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2"/>
        <w:gridCol w:w="5423"/>
        <w:gridCol w:w="1695"/>
        <w:gridCol w:w="1933"/>
      </w:tblGrid>
      <w:tr w:rsidR="00E70AC9" w:rsidRPr="00D62168" w:rsidTr="0057652A">
        <w:trPr>
          <w:trHeight w:val="692"/>
        </w:trPr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>№ п/п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        ФИО депутата-члена комиссии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>Процент посещаемости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1 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>Макурин Роман Александрович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100%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Сирооченко Юрий Григорьевич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6553C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    </w:t>
            </w:r>
            <w:r w:rsidR="0026553C">
              <w:rPr>
                <w:sz w:val="28"/>
                <w:szCs w:val="28"/>
              </w:rPr>
              <w:t xml:space="preserve"> 77,8</w:t>
            </w:r>
            <w:r>
              <w:rPr>
                <w:sz w:val="28"/>
                <w:szCs w:val="28"/>
              </w:rPr>
              <w:t>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3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Лысенко Любовь Михайловна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6</w:t>
            </w:r>
          </w:p>
        </w:tc>
        <w:tc>
          <w:tcPr>
            <w:tcW w:w="1933" w:type="dxa"/>
          </w:tcPr>
          <w:p w:rsidR="00E70AC9" w:rsidRPr="00D62168" w:rsidRDefault="0026553C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66,7</w:t>
            </w:r>
            <w:r w:rsidR="00E70AC9">
              <w:rPr>
                <w:sz w:val="28"/>
                <w:szCs w:val="28"/>
              </w:rPr>
              <w:t>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4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Клочков Геннадий Анатольевич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6553C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</w:tcPr>
          <w:p w:rsidR="00E70AC9" w:rsidRPr="00D62168" w:rsidRDefault="0026553C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77,8</w:t>
            </w:r>
            <w:r w:rsidR="00E70AC9">
              <w:rPr>
                <w:sz w:val="28"/>
                <w:szCs w:val="28"/>
              </w:rPr>
              <w:t>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5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Каверин Владислав Владимирович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6553C">
              <w:rPr>
                <w:sz w:val="28"/>
                <w:szCs w:val="28"/>
              </w:rPr>
              <w:t>9</w:t>
            </w:r>
          </w:p>
        </w:tc>
        <w:tc>
          <w:tcPr>
            <w:tcW w:w="193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100%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6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Алексей Владимирович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</w:t>
            </w:r>
          </w:p>
        </w:tc>
        <w:tc>
          <w:tcPr>
            <w:tcW w:w="1933" w:type="dxa"/>
          </w:tcPr>
          <w:p w:rsidR="00E70AC9" w:rsidRPr="00D62168" w:rsidRDefault="0026553C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55,6</w:t>
            </w:r>
            <w:r w:rsidR="00E70AC9">
              <w:rPr>
                <w:sz w:val="28"/>
                <w:szCs w:val="28"/>
              </w:rPr>
              <w:t>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7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Грудинин Григорий Михайлович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    </w:t>
            </w:r>
            <w:r w:rsidR="0026553C">
              <w:rPr>
                <w:sz w:val="28"/>
                <w:szCs w:val="28"/>
              </w:rPr>
              <w:t>8</w:t>
            </w:r>
          </w:p>
        </w:tc>
        <w:tc>
          <w:tcPr>
            <w:tcW w:w="1933" w:type="dxa"/>
          </w:tcPr>
          <w:p w:rsidR="00E70AC9" w:rsidRPr="00D62168" w:rsidRDefault="0026553C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88,9</w:t>
            </w:r>
            <w:r w:rsidR="00E70AC9">
              <w:rPr>
                <w:sz w:val="28"/>
                <w:szCs w:val="28"/>
              </w:rPr>
              <w:t xml:space="preserve"> 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8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Сухинин Александр Анатольевич</w:t>
            </w:r>
          </w:p>
        </w:tc>
        <w:tc>
          <w:tcPr>
            <w:tcW w:w="1695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</w:t>
            </w:r>
            <w:r w:rsidRPr="00D62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33" w:type="dxa"/>
          </w:tcPr>
          <w:p w:rsidR="00E70AC9" w:rsidRPr="00D62168" w:rsidRDefault="0026553C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22,2</w:t>
            </w:r>
            <w:r w:rsidR="00E70AC9">
              <w:rPr>
                <w:sz w:val="28"/>
                <w:szCs w:val="28"/>
              </w:rPr>
              <w:t xml:space="preserve"> %</w:t>
            </w:r>
          </w:p>
        </w:tc>
      </w:tr>
      <w:tr w:rsidR="00E70AC9" w:rsidRPr="00D62168" w:rsidTr="0057652A">
        <w:tc>
          <w:tcPr>
            <w:tcW w:w="802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 w:rsidRPr="00D62168">
              <w:rPr>
                <w:sz w:val="28"/>
                <w:szCs w:val="28"/>
              </w:rPr>
              <w:t xml:space="preserve">  9</w:t>
            </w:r>
          </w:p>
        </w:tc>
        <w:tc>
          <w:tcPr>
            <w:tcW w:w="5423" w:type="dxa"/>
          </w:tcPr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Мишуков Алексей Валерьевич</w:t>
            </w:r>
          </w:p>
        </w:tc>
        <w:tc>
          <w:tcPr>
            <w:tcW w:w="1695" w:type="dxa"/>
          </w:tcPr>
          <w:p w:rsidR="00E70AC9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1*</w:t>
            </w:r>
          </w:p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12.12.2019г.</w:t>
            </w:r>
          </w:p>
        </w:tc>
        <w:tc>
          <w:tcPr>
            <w:tcW w:w="1933" w:type="dxa"/>
          </w:tcPr>
          <w:p w:rsidR="00E70AC9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70AC9" w:rsidRPr="00D62168" w:rsidRDefault="00E70AC9" w:rsidP="0057652A">
            <w:pPr>
              <w:tabs>
                <w:tab w:val="left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100%    </w:t>
            </w:r>
          </w:p>
        </w:tc>
      </w:tr>
    </w:tbl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F524E1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04636">
        <w:rPr>
          <w:sz w:val="28"/>
          <w:szCs w:val="28"/>
        </w:rPr>
        <w:t xml:space="preserve">Заседания постоянной комиссии проводились согласно утвержденным полугодовым планам работы. </w:t>
      </w:r>
      <w:r>
        <w:rPr>
          <w:sz w:val="28"/>
          <w:szCs w:val="28"/>
        </w:rPr>
        <w:t>На данных заседаниях депутатами – членами комисси</w:t>
      </w:r>
      <w:r w:rsidR="00504636">
        <w:rPr>
          <w:sz w:val="28"/>
          <w:szCs w:val="28"/>
        </w:rPr>
        <w:t>и были рассмотрено 40</w:t>
      </w:r>
      <w:r w:rsidR="0026553C">
        <w:rPr>
          <w:sz w:val="28"/>
          <w:szCs w:val="28"/>
        </w:rPr>
        <w:t xml:space="preserve"> вопросов</w:t>
      </w:r>
      <w:r w:rsidR="00504636">
        <w:rPr>
          <w:sz w:val="28"/>
          <w:szCs w:val="28"/>
        </w:rPr>
        <w:t xml:space="preserve"> (н</w:t>
      </w:r>
      <w:r>
        <w:rPr>
          <w:sz w:val="28"/>
          <w:szCs w:val="28"/>
        </w:rPr>
        <w:t>а з</w:t>
      </w:r>
      <w:r w:rsidR="00504636">
        <w:rPr>
          <w:sz w:val="28"/>
          <w:szCs w:val="28"/>
        </w:rPr>
        <w:t xml:space="preserve">аседаниях комиссии за 2018 год - </w:t>
      </w:r>
      <w:r>
        <w:rPr>
          <w:sz w:val="28"/>
          <w:szCs w:val="28"/>
        </w:rPr>
        <w:t>рассмотрено 40 вопросов, за 2017  - 38</w:t>
      </w:r>
      <w:r w:rsidR="0050463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70AC9" w:rsidRDefault="0026553C" w:rsidP="006E62F8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70AC9">
        <w:rPr>
          <w:b/>
          <w:sz w:val="28"/>
          <w:szCs w:val="28"/>
        </w:rPr>
        <w:t>Предварительно рассмотрены, одобрены и рекомендован</w:t>
      </w:r>
      <w:r w:rsidR="00504636">
        <w:rPr>
          <w:b/>
          <w:sz w:val="28"/>
          <w:szCs w:val="28"/>
        </w:rPr>
        <w:t>ы</w:t>
      </w:r>
      <w:r w:rsidR="00E70AC9">
        <w:rPr>
          <w:b/>
          <w:sz w:val="28"/>
          <w:szCs w:val="28"/>
        </w:rPr>
        <w:t xml:space="preserve"> к утверждению на заседании Борисогле</w:t>
      </w:r>
      <w:r w:rsidR="00504636">
        <w:rPr>
          <w:b/>
          <w:sz w:val="28"/>
          <w:szCs w:val="28"/>
        </w:rPr>
        <w:t>бской городской Думы 25</w:t>
      </w:r>
      <w:r w:rsidR="00E70AC9">
        <w:rPr>
          <w:b/>
          <w:sz w:val="28"/>
          <w:szCs w:val="28"/>
        </w:rPr>
        <w:t xml:space="preserve"> проектов</w:t>
      </w:r>
      <w:r w:rsidR="00E70AC9" w:rsidRPr="00B9029C">
        <w:rPr>
          <w:b/>
          <w:sz w:val="28"/>
          <w:szCs w:val="28"/>
        </w:rPr>
        <w:t xml:space="preserve"> решений</w:t>
      </w:r>
      <w:r w:rsidR="00504636">
        <w:rPr>
          <w:b/>
          <w:sz w:val="28"/>
          <w:szCs w:val="28"/>
        </w:rPr>
        <w:t xml:space="preserve"> Борисоглебского городской Думы</w:t>
      </w:r>
      <w:r w:rsidR="00E70AC9">
        <w:rPr>
          <w:b/>
          <w:sz w:val="28"/>
          <w:szCs w:val="28"/>
        </w:rPr>
        <w:t xml:space="preserve">: </w:t>
      </w:r>
    </w:p>
    <w:p w:rsidR="00E70AC9" w:rsidRDefault="00E70AC9" w:rsidP="006E62F8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6E62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 внесении изменений в Положение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>.</w:t>
      </w:r>
    </w:p>
    <w:p w:rsidR="00E70AC9" w:rsidRPr="006E62F8" w:rsidRDefault="00E70AC9" w:rsidP="006E62F8">
      <w:pPr>
        <w:tabs>
          <w:tab w:val="left" w:pos="0"/>
        </w:tabs>
        <w:suppressAutoHyphens/>
        <w:jc w:val="both"/>
        <w:rPr>
          <w:b/>
          <w:sz w:val="28"/>
          <w:szCs w:val="28"/>
        </w:rPr>
      </w:pPr>
      <w:r w:rsidRPr="00504636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внесении изменений в Положение о порядке проведения конкурса на замещение вакантной должности муниципальной службы в органах местного самоуправления Борисоглебского городского округа Воронежской области, </w:t>
      </w:r>
      <w:r>
        <w:rPr>
          <w:bCs/>
          <w:sz w:val="28"/>
          <w:szCs w:val="28"/>
        </w:rPr>
        <w:lastRenderedPageBreak/>
        <w:t>утвержденный решением Борисоглебской городской Думы Борисоглебского городского округа Воронежской области от 19.04.2012 г. № 24</w:t>
      </w:r>
    </w:p>
    <w:p w:rsidR="00E70AC9" w:rsidRDefault="00E70AC9" w:rsidP="006E62F8">
      <w:pPr>
        <w:tabs>
          <w:tab w:val="num" w:pos="360"/>
          <w:tab w:val="num" w:pos="12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Cs/>
          <w:sz w:val="28"/>
          <w:szCs w:val="28"/>
        </w:rPr>
        <w:t>О внесении изменений в Порядок проведения конкурса на замещение должности главы администрации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28.03.2016 г. № 396</w:t>
      </w:r>
    </w:p>
    <w:p w:rsidR="00E70AC9" w:rsidRDefault="00504636" w:rsidP="00E700A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E70AC9">
        <w:rPr>
          <w:sz w:val="28"/>
          <w:szCs w:val="28"/>
        </w:rPr>
        <w:t>.</w:t>
      </w:r>
      <w:r w:rsidR="00E70AC9" w:rsidRPr="00E700A7">
        <w:rPr>
          <w:bCs/>
          <w:sz w:val="28"/>
          <w:szCs w:val="28"/>
        </w:rPr>
        <w:t xml:space="preserve"> </w:t>
      </w:r>
      <w:r w:rsidR="00E70AC9">
        <w:rPr>
          <w:bCs/>
          <w:sz w:val="28"/>
          <w:szCs w:val="28"/>
        </w:rPr>
        <w:t>Об утверждении Положения о старостах сельских населенных пунктов Борисоглебского городского округа Воронежской области</w:t>
      </w:r>
    </w:p>
    <w:p w:rsidR="00E70AC9" w:rsidRDefault="00504636" w:rsidP="00E700A7">
      <w:pPr>
        <w:tabs>
          <w:tab w:val="num" w:pos="36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E70AC9">
        <w:rPr>
          <w:bCs/>
          <w:sz w:val="28"/>
          <w:szCs w:val="28"/>
        </w:rPr>
        <w:t xml:space="preserve">. </w:t>
      </w:r>
      <w:r w:rsidR="00E70AC9">
        <w:rPr>
          <w:sz w:val="28"/>
          <w:szCs w:val="28"/>
        </w:rPr>
        <w:t>Об утверждении формы подписного листа по выбору делегатов на конференцию граждан</w:t>
      </w:r>
    </w:p>
    <w:p w:rsidR="00E70AC9" w:rsidRDefault="00504636" w:rsidP="00E700A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E70AC9">
        <w:rPr>
          <w:sz w:val="28"/>
          <w:szCs w:val="28"/>
        </w:rPr>
        <w:t xml:space="preserve">. </w:t>
      </w:r>
      <w:r w:rsidR="00E70AC9">
        <w:rPr>
          <w:bCs/>
          <w:sz w:val="28"/>
          <w:szCs w:val="28"/>
        </w:rPr>
        <w:t>О внесении изменений в Положение о пенсии за выслугу лет лицам, замещавшим должности муниципальной службы, а также доплаты к страховой пенсии по старости (инвалидности) лицам, замещавшим выборные муниципальные должности на постоянной основе в органах местного самоуправления Борисоглебского городского округа Воронежской области</w:t>
      </w:r>
    </w:p>
    <w:p w:rsidR="00E70AC9" w:rsidRPr="00775E91" w:rsidRDefault="00504636" w:rsidP="00E700A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E70AC9">
        <w:rPr>
          <w:bCs/>
          <w:sz w:val="28"/>
          <w:szCs w:val="28"/>
        </w:rPr>
        <w:t>. О создании специальной комиссии по подготовке проекта решения Борисоглебской городской Думы о внесении изменений в Устав Борисоглебского городского округа Воронежской области</w:t>
      </w:r>
    </w:p>
    <w:p w:rsidR="00E70AC9" w:rsidRDefault="00504636" w:rsidP="00E700A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E70AC9">
        <w:rPr>
          <w:bCs/>
          <w:sz w:val="28"/>
          <w:szCs w:val="28"/>
        </w:rPr>
        <w:t>. О внесении изменений в Приложение № 4 к Положению о публичных слушаниях, общественных обсуждениях в Борисоглебском городском округе Воронежской области по вопросам градостроительной деятельности, утвержденному решением Борисоглебской городской Думы Борисоглебского городского округа Воронежской области от 25.10.2018 г. № 238</w:t>
      </w:r>
    </w:p>
    <w:p w:rsidR="00E70AC9" w:rsidRPr="00504636" w:rsidRDefault="00504636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9.</w:t>
      </w:r>
      <w:r w:rsidR="00E70AC9" w:rsidRPr="00826E63">
        <w:rPr>
          <w:sz w:val="28"/>
          <w:szCs w:val="28"/>
        </w:rPr>
        <w:t xml:space="preserve">Об утверждении </w:t>
      </w:r>
      <w:r w:rsidR="00E70AC9">
        <w:rPr>
          <w:sz w:val="28"/>
          <w:szCs w:val="28"/>
        </w:rPr>
        <w:t xml:space="preserve">плана работы </w:t>
      </w:r>
      <w:r w:rsidR="00E70AC9" w:rsidRPr="00826E63">
        <w:rPr>
          <w:sz w:val="28"/>
          <w:szCs w:val="28"/>
        </w:rPr>
        <w:t>постоянной комиссии Борисоглебской городской Думы по вопросам соблюдения законности и безопасности, развития общественного самоуправления и муниципальной службы, Регламенту и вопросам депутатской этики</w:t>
      </w:r>
      <w:r w:rsidR="00E70AC9">
        <w:rPr>
          <w:sz w:val="28"/>
          <w:szCs w:val="28"/>
        </w:rPr>
        <w:t xml:space="preserve"> на 2-ое полугодие 2019 года</w:t>
      </w:r>
    </w:p>
    <w:p w:rsidR="00E70AC9" w:rsidRDefault="00504636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E70AC9">
        <w:rPr>
          <w:bCs/>
          <w:sz w:val="28"/>
          <w:szCs w:val="28"/>
        </w:rPr>
        <w:t xml:space="preserve">. </w:t>
      </w:r>
      <w:r w:rsidR="00E70AC9" w:rsidRPr="00C71327">
        <w:rPr>
          <w:sz w:val="28"/>
          <w:szCs w:val="28"/>
        </w:rPr>
        <w:t>О   внесении  изменений  в     Положение о денежном содержании муниципальных служащих органов местного самоуправления Борисоглебского    городского       округа</w:t>
      </w:r>
      <w:r w:rsidR="00E70AC9" w:rsidRPr="00C71327">
        <w:rPr>
          <w:b/>
          <w:bCs/>
          <w:sz w:val="28"/>
          <w:szCs w:val="28"/>
        </w:rPr>
        <w:t xml:space="preserve"> </w:t>
      </w:r>
      <w:r w:rsidR="00E70AC9" w:rsidRPr="00C71327">
        <w:rPr>
          <w:sz w:val="28"/>
          <w:szCs w:val="28"/>
        </w:rPr>
        <w:t>Воронежской    области,     утвержденное решением Борисоглебской городской Думы Борисоглебского городского округа Воронежской области от 18.09.2012 №</w:t>
      </w:r>
      <w:r w:rsidR="00E70AC9">
        <w:rPr>
          <w:sz w:val="28"/>
          <w:szCs w:val="28"/>
        </w:rPr>
        <w:t xml:space="preserve"> </w:t>
      </w:r>
      <w:r w:rsidR="00E70AC9" w:rsidRPr="00C71327">
        <w:rPr>
          <w:sz w:val="28"/>
          <w:szCs w:val="28"/>
        </w:rPr>
        <w:t>67</w:t>
      </w:r>
    </w:p>
    <w:p w:rsidR="00E70AC9" w:rsidRDefault="00504636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E70AC9">
        <w:rPr>
          <w:bCs/>
          <w:sz w:val="28"/>
          <w:szCs w:val="28"/>
        </w:rPr>
        <w:t xml:space="preserve">. </w:t>
      </w:r>
      <w:r w:rsidR="00E70AC9">
        <w:rPr>
          <w:sz w:val="28"/>
          <w:szCs w:val="28"/>
        </w:rPr>
        <w:t>О внесении изменений в П</w:t>
      </w:r>
      <w:r w:rsidR="00E70AC9" w:rsidRPr="00B9784B">
        <w:rPr>
          <w:sz w:val="28"/>
          <w:szCs w:val="28"/>
        </w:rPr>
        <w:t>оложени</w:t>
      </w:r>
      <w:r w:rsidR="00E70AC9">
        <w:rPr>
          <w:sz w:val="28"/>
          <w:szCs w:val="28"/>
        </w:rPr>
        <w:t>е</w:t>
      </w:r>
      <w:r w:rsidR="00E70AC9" w:rsidRPr="00B9784B">
        <w:rPr>
          <w:sz w:val="28"/>
          <w:szCs w:val="28"/>
        </w:rPr>
        <w:t xml:space="preserve"> об оплате труда работников, замещающих должности, не являющиеся</w:t>
      </w:r>
      <w:r w:rsidR="00E70AC9">
        <w:rPr>
          <w:sz w:val="28"/>
          <w:szCs w:val="28"/>
        </w:rPr>
        <w:t xml:space="preserve"> </w:t>
      </w:r>
      <w:r w:rsidR="00E70AC9" w:rsidRPr="00B9784B">
        <w:rPr>
          <w:sz w:val="28"/>
          <w:szCs w:val="28"/>
        </w:rPr>
        <w:t>должностями муниципальной службы</w:t>
      </w:r>
      <w:r w:rsidR="00E70AC9">
        <w:rPr>
          <w:sz w:val="28"/>
          <w:szCs w:val="28"/>
        </w:rPr>
        <w:t xml:space="preserve"> органов местного самоуправления Борисоглебского городского округа Воронежской области, утвержденное  решением Борисоглебской городской Думы Борисоглебского городского округа Воронежской области от 18.09.2012 № 69</w:t>
      </w:r>
    </w:p>
    <w:p w:rsidR="00E70AC9" w:rsidRPr="00504636" w:rsidRDefault="00504636" w:rsidP="0050463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12</w:t>
      </w:r>
      <w:r w:rsidR="00E70AC9">
        <w:rPr>
          <w:bCs/>
          <w:sz w:val="28"/>
          <w:szCs w:val="28"/>
        </w:rPr>
        <w:t xml:space="preserve">. </w:t>
      </w:r>
      <w:r w:rsidR="00E70AC9" w:rsidRPr="00D50840">
        <w:rPr>
          <w:sz w:val="28"/>
          <w:szCs w:val="28"/>
        </w:rPr>
        <w:t>О формировании нового состава Общественной палаты Борисоглебского городского округа Воронежской области</w:t>
      </w:r>
    </w:p>
    <w:p w:rsidR="00E70AC9" w:rsidRDefault="00504636" w:rsidP="00414AA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13</w:t>
      </w:r>
      <w:r w:rsidR="00E70AC9">
        <w:rPr>
          <w:bCs/>
          <w:sz w:val="28"/>
          <w:szCs w:val="28"/>
        </w:rPr>
        <w:t xml:space="preserve">. </w:t>
      </w:r>
      <w:r w:rsidR="00E70AC9" w:rsidRPr="00D50840">
        <w:rPr>
          <w:sz w:val="28"/>
          <w:szCs w:val="28"/>
        </w:rPr>
        <w:t>О досрочном прекращении полномочий депутата Борисоглебской городской Думы Борисоглебского городского округа Воронежской области седьмого соз</w:t>
      </w:r>
      <w:r w:rsidR="00E70AC9">
        <w:rPr>
          <w:sz w:val="28"/>
          <w:szCs w:val="28"/>
        </w:rPr>
        <w:t>ыва Кучинского Юрия Викторовича</w:t>
      </w:r>
    </w:p>
    <w:p w:rsidR="00E70AC9" w:rsidRDefault="00504636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70AC9">
        <w:rPr>
          <w:sz w:val="28"/>
          <w:szCs w:val="28"/>
        </w:rPr>
        <w:t>.</w:t>
      </w:r>
      <w:r w:rsidR="00E70AC9" w:rsidRPr="00414AAA">
        <w:rPr>
          <w:sz w:val="28"/>
          <w:szCs w:val="28"/>
        </w:rPr>
        <w:t xml:space="preserve"> </w:t>
      </w:r>
      <w:r w:rsidR="00E70AC9">
        <w:rPr>
          <w:sz w:val="28"/>
          <w:szCs w:val="28"/>
        </w:rPr>
        <w:t>О внесении изменения в решение Борисоглебской городской Думы Борисоглебского городского округа Воронежской области от 24.03.2017 г. № 73</w:t>
      </w:r>
    </w:p>
    <w:p w:rsidR="00E70AC9" w:rsidRDefault="00E70AC9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«Об установлении границ территориального общественного самоуправления на территории города Борисоглебска Борисоглебского городского округа Воронежской области»</w:t>
      </w:r>
    </w:p>
    <w:p w:rsidR="00E70AC9" w:rsidRDefault="00504636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70AC9">
        <w:rPr>
          <w:sz w:val="28"/>
          <w:szCs w:val="28"/>
        </w:rPr>
        <w:t>. О внесении изменений в Приложение 2 к решению Борисоглебской городской Думы Борисоглебского городского округа Воронежской области от 16.12.2010г. №341 «Об утверждении Порядка установки памятников, мемориальных досок и иных памятных знаков в Борисоглебском городском округе Воронежской области»</w:t>
      </w:r>
    </w:p>
    <w:p w:rsidR="00E70AC9" w:rsidRPr="00504636" w:rsidRDefault="00504636" w:rsidP="00414AAA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70AC9" w:rsidRPr="00504636">
        <w:rPr>
          <w:sz w:val="28"/>
          <w:szCs w:val="28"/>
        </w:rPr>
        <w:t>. О внесении изменений в персональный состав постоянных комиссий Борисоглебской городской Думы Борисоглебского городского округа Воронежской области</w:t>
      </w:r>
    </w:p>
    <w:p w:rsidR="00E70AC9" w:rsidRDefault="00504636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7"/>
          <w:szCs w:val="27"/>
        </w:rPr>
        <w:t>17</w:t>
      </w:r>
      <w:r w:rsidR="00E70AC9">
        <w:rPr>
          <w:sz w:val="27"/>
          <w:szCs w:val="27"/>
        </w:rPr>
        <w:t>.</w:t>
      </w:r>
      <w:r w:rsidR="00E70AC9" w:rsidRPr="003364DF">
        <w:rPr>
          <w:bCs/>
          <w:sz w:val="28"/>
          <w:szCs w:val="28"/>
        </w:rPr>
        <w:t xml:space="preserve"> </w:t>
      </w:r>
      <w:r w:rsidR="00E70AC9">
        <w:rPr>
          <w:bCs/>
          <w:sz w:val="28"/>
          <w:szCs w:val="28"/>
        </w:rPr>
        <w:t>О бюджете Борисоглебского городского округа Воронежской области на 2020 год и на плановый период 2021 и 2022 годов</w:t>
      </w:r>
    </w:p>
    <w:p w:rsidR="00E70AC9" w:rsidRDefault="00504636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</w:t>
      </w:r>
      <w:r w:rsidR="00E70AC9">
        <w:rPr>
          <w:bCs/>
          <w:sz w:val="28"/>
          <w:szCs w:val="28"/>
        </w:rPr>
        <w:t xml:space="preserve">. </w:t>
      </w:r>
      <w:r w:rsidR="00E70AC9">
        <w:rPr>
          <w:sz w:val="28"/>
          <w:szCs w:val="28"/>
        </w:rPr>
        <w:t xml:space="preserve">О внесении </w:t>
      </w:r>
      <w:r w:rsidR="00E70AC9" w:rsidRPr="00C71327">
        <w:rPr>
          <w:sz w:val="28"/>
          <w:szCs w:val="28"/>
        </w:rPr>
        <w:t xml:space="preserve">изменений </w:t>
      </w:r>
      <w:r w:rsidR="00E70AC9">
        <w:rPr>
          <w:sz w:val="28"/>
          <w:szCs w:val="28"/>
        </w:rPr>
        <w:t xml:space="preserve">в </w:t>
      </w:r>
      <w:r w:rsidR="00E70AC9" w:rsidRPr="00C71327">
        <w:rPr>
          <w:sz w:val="28"/>
          <w:szCs w:val="28"/>
        </w:rPr>
        <w:t xml:space="preserve">Положение о денежном содержании муниципальных служащих органов местного самоуправления </w:t>
      </w:r>
      <w:r w:rsidR="00E70AC9">
        <w:rPr>
          <w:sz w:val="28"/>
          <w:szCs w:val="28"/>
        </w:rPr>
        <w:t xml:space="preserve">Борисоглебского городского </w:t>
      </w:r>
      <w:r w:rsidR="00E70AC9" w:rsidRPr="00C71327">
        <w:rPr>
          <w:sz w:val="28"/>
          <w:szCs w:val="28"/>
        </w:rPr>
        <w:t>округа</w:t>
      </w:r>
      <w:r w:rsidR="00E70AC9" w:rsidRPr="00C71327">
        <w:rPr>
          <w:b/>
          <w:bCs/>
          <w:sz w:val="28"/>
          <w:szCs w:val="28"/>
        </w:rPr>
        <w:t xml:space="preserve"> </w:t>
      </w:r>
      <w:r w:rsidR="00E70AC9">
        <w:rPr>
          <w:sz w:val="28"/>
          <w:szCs w:val="28"/>
        </w:rPr>
        <w:t xml:space="preserve">Воронежской </w:t>
      </w:r>
      <w:r w:rsidR="00E70AC9" w:rsidRPr="00C71327">
        <w:rPr>
          <w:sz w:val="28"/>
          <w:szCs w:val="28"/>
        </w:rPr>
        <w:t xml:space="preserve">области,     утвержденное решением Борисоглебской городской Думы Борисоглебского городского округа Воронежской области от 18.09.2012 </w:t>
      </w:r>
      <w:r w:rsidR="00E70AC9">
        <w:rPr>
          <w:sz w:val="28"/>
          <w:szCs w:val="28"/>
        </w:rPr>
        <w:t xml:space="preserve">г. </w:t>
      </w:r>
      <w:r w:rsidR="00E70AC9" w:rsidRPr="00C71327">
        <w:rPr>
          <w:sz w:val="28"/>
          <w:szCs w:val="28"/>
        </w:rPr>
        <w:t>№</w:t>
      </w:r>
      <w:r w:rsidR="00E70AC9">
        <w:rPr>
          <w:sz w:val="28"/>
          <w:szCs w:val="28"/>
        </w:rPr>
        <w:t xml:space="preserve"> </w:t>
      </w:r>
      <w:r w:rsidR="00E70AC9" w:rsidRPr="00C71327">
        <w:rPr>
          <w:sz w:val="28"/>
          <w:szCs w:val="28"/>
        </w:rPr>
        <w:t>67</w:t>
      </w:r>
      <w:r w:rsidR="00E70AC9">
        <w:rPr>
          <w:bCs/>
          <w:sz w:val="28"/>
          <w:szCs w:val="28"/>
        </w:rPr>
        <w:t xml:space="preserve">  </w:t>
      </w:r>
    </w:p>
    <w:p w:rsidR="00E70AC9" w:rsidRDefault="00504636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E70AC9">
        <w:rPr>
          <w:bCs/>
          <w:sz w:val="28"/>
          <w:szCs w:val="28"/>
        </w:rPr>
        <w:t xml:space="preserve">. </w:t>
      </w:r>
      <w:r w:rsidR="00E70AC9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18.09.2012   №69 «Об утверждении Положения об оплате труда работников, замещающих должности, не являющиеся должностями муниципальной службы»</w:t>
      </w:r>
    </w:p>
    <w:p w:rsidR="00E70AC9" w:rsidRDefault="00504636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E70AC9">
        <w:rPr>
          <w:bCs/>
          <w:sz w:val="28"/>
          <w:szCs w:val="28"/>
        </w:rPr>
        <w:t>. Об утверждении штатного расписания контрольно-счетной палаты Борисоглебского городского округа Воронежской области</w:t>
      </w:r>
    </w:p>
    <w:p w:rsidR="00E70AC9" w:rsidRDefault="00504636" w:rsidP="003364DF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</w:t>
      </w:r>
      <w:r w:rsidR="00E70AC9">
        <w:rPr>
          <w:bCs/>
          <w:sz w:val="28"/>
          <w:szCs w:val="28"/>
        </w:rPr>
        <w:t>. О внесении изменений в Положение о сходе граждан в Борисоглебском городском округе Воронежской области, утвержденное решением Борисоглебской городской Думы Борисоглебского городского округа Воронежской области от 24.12.2018 г. № 252</w:t>
      </w:r>
    </w:p>
    <w:p w:rsidR="00E70AC9" w:rsidRDefault="00504636" w:rsidP="00480E8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7"/>
          <w:szCs w:val="27"/>
        </w:rPr>
        <w:t>22</w:t>
      </w:r>
      <w:r w:rsidR="00E70AC9">
        <w:rPr>
          <w:sz w:val="27"/>
          <w:szCs w:val="27"/>
        </w:rPr>
        <w:t xml:space="preserve">. </w:t>
      </w:r>
      <w:r w:rsidR="00E70AC9">
        <w:rPr>
          <w:bCs/>
          <w:sz w:val="28"/>
          <w:szCs w:val="28"/>
        </w:rPr>
        <w:t xml:space="preserve">Об утверждении Порядка принятия решения о применении мер ответственности к депутату Борисоглебской городской Думы Борисоглебского </w:t>
      </w:r>
    </w:p>
    <w:p w:rsidR="00E70AC9" w:rsidRDefault="00E70AC9" w:rsidP="00480E86">
      <w:pPr>
        <w:tabs>
          <w:tab w:val="num" w:pos="360"/>
        </w:tabs>
        <w:jc w:val="both"/>
        <w:rPr>
          <w:bCs/>
          <w:sz w:val="28"/>
          <w:szCs w:val="28"/>
        </w:rPr>
      </w:pPr>
      <w:r w:rsidRPr="004B6D26">
        <w:rPr>
          <w:bCs/>
          <w:sz w:val="28"/>
          <w:szCs w:val="28"/>
        </w:rPr>
        <w:t>городского округа Воронежской области,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 и несовершеннолетних детей, если искажение этих сведений является несущественным</w:t>
      </w:r>
    </w:p>
    <w:p w:rsidR="00E70AC9" w:rsidRDefault="00504636" w:rsidP="00480E8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="00E70AC9">
        <w:rPr>
          <w:bCs/>
          <w:sz w:val="28"/>
          <w:szCs w:val="28"/>
        </w:rPr>
        <w:t>.</w:t>
      </w:r>
      <w:r w:rsidR="00E70AC9" w:rsidRPr="00480E86">
        <w:rPr>
          <w:bCs/>
          <w:sz w:val="28"/>
          <w:szCs w:val="28"/>
        </w:rPr>
        <w:t xml:space="preserve"> </w:t>
      </w:r>
      <w:r w:rsidR="00E70AC9">
        <w:rPr>
          <w:bCs/>
          <w:sz w:val="28"/>
          <w:szCs w:val="28"/>
        </w:rPr>
        <w:t>О внесении изменений в Регламент Борисоглебской городской Думы Борисоглебского городского округа Воронежской области, утвержденный решением Борисоглебской городской Думы Борисоглебского городского округа Воронежской области от 29.10.2013 г. № 186</w:t>
      </w:r>
    </w:p>
    <w:p w:rsidR="00E70AC9" w:rsidRDefault="00504636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</w:t>
      </w:r>
      <w:r w:rsidR="00E70AC9">
        <w:rPr>
          <w:bCs/>
          <w:sz w:val="28"/>
          <w:szCs w:val="28"/>
        </w:rPr>
        <w:t>. О внесении изменений в решение Борисоглебской городской Думы Борисоглебского городского округа Воронежской области от 24.03.2017 г. № 73 «Об установлении границ территориального самоуправления на территории города Борисоглебска Борисоглебского городского округа Воронежской области</w:t>
      </w:r>
    </w:p>
    <w:p w:rsidR="00504636" w:rsidRPr="00504636" w:rsidRDefault="00504636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25.</w:t>
      </w:r>
      <w:r w:rsidRPr="00504636">
        <w:rPr>
          <w:sz w:val="28"/>
          <w:szCs w:val="28"/>
        </w:rPr>
        <w:t xml:space="preserve"> </w:t>
      </w:r>
      <w:r w:rsidRPr="00CD4059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решение Борисоглебской городской Думы Борисоглебского городского округа Воронежской области от 29.10.2014 г.  № </w:t>
      </w:r>
      <w:r>
        <w:rPr>
          <w:sz w:val="28"/>
          <w:szCs w:val="28"/>
        </w:rPr>
        <w:lastRenderedPageBreak/>
        <w:t>281 «Об установлении границ территориального общественного самоуправления на сельской территории Борисоглебского городского округа Воронежской области»</w:t>
      </w:r>
    </w:p>
    <w:p w:rsidR="00E70AC9" w:rsidRDefault="00E70AC9" w:rsidP="00504636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E70AC9" w:rsidRPr="00CA7423" w:rsidRDefault="00E70AC9" w:rsidP="00F524E1">
      <w:pPr>
        <w:tabs>
          <w:tab w:val="left" w:pos="0"/>
        </w:tabs>
        <w:suppressAutoHyphens/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Принята к сведению информация от отделов администрации </w:t>
      </w:r>
      <w:r w:rsidRPr="00B9029C">
        <w:rPr>
          <w:b/>
          <w:sz w:val="28"/>
          <w:szCs w:val="28"/>
        </w:rPr>
        <w:t>Борисоглебского городского округа</w:t>
      </w:r>
      <w:r w:rsidR="00F524E1">
        <w:rPr>
          <w:b/>
          <w:sz w:val="28"/>
          <w:szCs w:val="28"/>
        </w:rPr>
        <w:t xml:space="preserve"> и Борисоглебской межра</w:t>
      </w:r>
      <w:r w:rsidR="00247F02">
        <w:rPr>
          <w:b/>
          <w:sz w:val="28"/>
          <w:szCs w:val="28"/>
        </w:rPr>
        <w:t>й</w:t>
      </w:r>
      <w:r w:rsidR="00F524E1">
        <w:rPr>
          <w:b/>
          <w:sz w:val="28"/>
          <w:szCs w:val="28"/>
        </w:rPr>
        <w:t>прокуратуры</w:t>
      </w:r>
      <w:r>
        <w:rPr>
          <w:b/>
          <w:sz w:val="28"/>
          <w:szCs w:val="28"/>
        </w:rPr>
        <w:t xml:space="preserve"> по следующим вопросам</w:t>
      </w:r>
      <w:r w:rsidRPr="00B9029C">
        <w:rPr>
          <w:b/>
          <w:sz w:val="28"/>
          <w:szCs w:val="28"/>
        </w:rPr>
        <w:t>: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 исполнении муниципальной программы Борисоглебского городского округа «Безопасность городского округа на 2014-2020гг» за 2018г. 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83791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 муниципальной программы Борисоглебского городского округа «Муниципальное управление и гражданское общество на 2014-2020гг» за  2018г.</w:t>
      </w:r>
    </w:p>
    <w:p w:rsidR="00E70AC9" w:rsidRPr="000E5E20" w:rsidRDefault="00E70AC9" w:rsidP="00CC6647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F3A2F">
        <w:rPr>
          <w:sz w:val="28"/>
          <w:szCs w:val="28"/>
        </w:rPr>
        <w:t xml:space="preserve">О проведении отделом муниципального контроля администрации Борисоглебского городского округа  проверок соблюдения Правил благоустройства и содержания территории Борисоглебского городского округа </w:t>
      </w:r>
    </w:p>
    <w:p w:rsidR="00E70AC9" w:rsidRPr="00504636" w:rsidRDefault="00E70AC9" w:rsidP="00504636">
      <w:pPr>
        <w:tabs>
          <w:tab w:val="num" w:pos="360"/>
        </w:tabs>
        <w:jc w:val="both"/>
        <w:rPr>
          <w:bCs/>
          <w:sz w:val="28"/>
          <w:szCs w:val="28"/>
        </w:rPr>
      </w:pPr>
      <w:r w:rsidRPr="003F3A2F">
        <w:rPr>
          <w:sz w:val="28"/>
          <w:szCs w:val="28"/>
        </w:rPr>
        <w:t>Воронежской области на территории сельских населенных пунктов Борисоглебского городского округа в  части соблюдения собственниками жилых и нежилых помещений норм содержания придомовых территорий</w:t>
      </w:r>
      <w:r>
        <w:rPr>
          <w:sz w:val="28"/>
          <w:szCs w:val="28"/>
        </w:rPr>
        <w:t>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 Об исполнении муниципальной программы Борисоглебского городского округа «Безопасность городского округа на 2014-2020гг» за 9 месяцев 2019г.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5. Об исполнении муниципальной программы Борисоглебского городского округа «Муниципальное управление и гражданское общество на 2014-2020гг» за 9 мес. 2019г.</w:t>
      </w:r>
    </w:p>
    <w:p w:rsidR="00E70AC9" w:rsidRPr="00D50840" w:rsidRDefault="00E70AC9" w:rsidP="00CC6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50840">
        <w:rPr>
          <w:sz w:val="28"/>
          <w:szCs w:val="28"/>
        </w:rPr>
        <w:t>О практике реализации на территории Борисоглебского городского округа инициативных проектов территориального общественного самоуправления</w:t>
      </w:r>
    </w:p>
    <w:p w:rsidR="00E70AC9" w:rsidRPr="00F524E1" w:rsidRDefault="00F524E1" w:rsidP="00F524E1">
      <w:pPr>
        <w:tabs>
          <w:tab w:val="num" w:pos="360"/>
        </w:tabs>
        <w:jc w:val="both"/>
        <w:rPr>
          <w:bCs/>
          <w:sz w:val="28"/>
          <w:szCs w:val="28"/>
        </w:rPr>
      </w:pPr>
      <w:r w:rsidRPr="00F524E1">
        <w:rPr>
          <w:bCs/>
          <w:sz w:val="28"/>
          <w:szCs w:val="28"/>
        </w:rPr>
        <w:t xml:space="preserve">7. </w:t>
      </w:r>
      <w:r w:rsidRPr="00F524E1">
        <w:rPr>
          <w:sz w:val="28"/>
          <w:szCs w:val="28"/>
        </w:rPr>
        <w:t>О включении в состав земель населенных пунктов в границах с. Чигорак земли, расположенные в СНТ «Дорожник» и около детских оздоровительных лагерей</w:t>
      </w:r>
      <w:r w:rsidRPr="003F3A2F">
        <w:rPr>
          <w:sz w:val="28"/>
          <w:szCs w:val="28"/>
        </w:rPr>
        <w:t xml:space="preserve"> </w:t>
      </w:r>
    </w:p>
    <w:p w:rsidR="00E70AC9" w:rsidRPr="00F524E1" w:rsidRDefault="00F524E1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0AC9" w:rsidRPr="00F524E1">
        <w:rPr>
          <w:sz w:val="28"/>
          <w:szCs w:val="28"/>
        </w:rPr>
        <w:t>. О статусе депутата представительного органа местного самоуправления.</w:t>
      </w:r>
    </w:p>
    <w:p w:rsidR="00E70AC9" w:rsidRPr="003C4BA6" w:rsidRDefault="00F524E1" w:rsidP="00820E3E">
      <w:pPr>
        <w:tabs>
          <w:tab w:val="num" w:pos="3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9.О</w:t>
      </w:r>
      <w:r w:rsidR="00E70AC9">
        <w:rPr>
          <w:sz w:val="28"/>
          <w:szCs w:val="28"/>
        </w:rPr>
        <w:t xml:space="preserve"> состоянии законности при исполнении законодательства о противодействии коррупции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F524E1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рассмотрения отдельных обращений </w:t>
      </w:r>
      <w:r w:rsidR="00F524E1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 xml:space="preserve">комиссия направляла письменные ответы заявителям с рекомендациями обращения в суд для рассмотрения имущественных споров. </w:t>
      </w:r>
      <w:r w:rsidR="00F524E1">
        <w:rPr>
          <w:sz w:val="28"/>
          <w:szCs w:val="28"/>
        </w:rPr>
        <w:t>Таких обращений было 2. Всем гражданам были даны своевременные ответы на поставленные вопросы и оказана информационная поддержка.</w:t>
      </w:r>
    </w:p>
    <w:p w:rsidR="00E70AC9" w:rsidRDefault="00F524E1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течение отчетного периода дважды рассматривались</w:t>
      </w:r>
      <w:r w:rsidR="00E70AC9">
        <w:rPr>
          <w:sz w:val="28"/>
          <w:szCs w:val="28"/>
        </w:rPr>
        <w:t xml:space="preserve"> обращения о нарушениях депутатами норм</w:t>
      </w:r>
      <w:r>
        <w:rPr>
          <w:sz w:val="28"/>
          <w:szCs w:val="28"/>
        </w:rPr>
        <w:t xml:space="preserve"> депутатской этики. По итогам рассмотрения</w:t>
      </w:r>
      <w:r w:rsidRPr="00F524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данных обращений  постоянная комиссия </w:t>
      </w:r>
      <w:r w:rsidR="00E70AC9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рекомендовала депутатам</w:t>
      </w:r>
      <w:r w:rsidR="00E70AC9">
        <w:rPr>
          <w:sz w:val="28"/>
          <w:szCs w:val="28"/>
        </w:rPr>
        <w:t xml:space="preserve"> во взаимодействии с должностными лицами предприятий учреждений не допускать нарушения норм Кодекса депутатской этики, утверждённого решением Борисоглебской городской Думы Борисоглебского городского округа Воронежской области от 18.02.2014г. №223, и воздерживаться от поступков, которые могут нанести ущерб их авторитету и авторитету Борисоглебской городской Думы.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E70AC9" w:rsidRDefault="00F524E1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E70AC9">
        <w:rPr>
          <w:sz w:val="28"/>
          <w:szCs w:val="28"/>
        </w:rPr>
        <w:t xml:space="preserve">        В декабре 2019 года</w:t>
      </w:r>
      <w:r>
        <w:rPr>
          <w:sz w:val="28"/>
          <w:szCs w:val="28"/>
        </w:rPr>
        <w:t xml:space="preserve"> рассмотрено ходатайство Общественной палаты Борисоглебского городского округа о присвоении звания «Почетный гражданин Борисоглебского городского округа», по результатам которого </w:t>
      </w:r>
      <w:r w:rsidR="00E70AC9">
        <w:rPr>
          <w:sz w:val="28"/>
          <w:szCs w:val="28"/>
        </w:rPr>
        <w:t xml:space="preserve"> было направлено в комиссию по присвоению звания «Почётный гражданин Борисоглебского городского округа» представление о присвоении звания «Почётный гражданин Борисоглебского городского округа» Анатолию Александровичу Вершкову.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Члены комиссии </w:t>
      </w:r>
      <w:r w:rsidRPr="00BD3747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вопросам соблюдения законности и </w:t>
      </w:r>
      <w:r w:rsidRPr="00BD3747">
        <w:rPr>
          <w:sz w:val="28"/>
          <w:szCs w:val="28"/>
        </w:rPr>
        <w:t>безопасности</w:t>
      </w:r>
      <w:r>
        <w:rPr>
          <w:sz w:val="28"/>
          <w:szCs w:val="28"/>
        </w:rPr>
        <w:t>, развития общественного самоуправления и муниципальной службы, Регламенту и вопросам депутатской этики принимали активное участие на всех заседаниях балансовой комиссии администрации Борисоглебского городского округа, в заседаниях Совета по противодействию коррупции при главе администрации Борисоглебского городского округа.</w:t>
      </w:r>
    </w:p>
    <w:p w:rsidR="00E70AC9" w:rsidRDefault="00E70AC9" w:rsidP="003C2995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Следует отметить, что среди запланированных мероприятий и заседаний комиссии не переносились по причине отсутствия кворума. Положительный результат достигнут в результате предпринятых мер и проработки  способов информирования членов комиссии председателем комиссии.</w:t>
      </w:r>
    </w:p>
    <w:p w:rsidR="00E70AC9" w:rsidRDefault="00E70AC9" w:rsidP="003C2995">
      <w:pPr>
        <w:jc w:val="both"/>
        <w:rPr>
          <w:sz w:val="28"/>
          <w:szCs w:val="28"/>
        </w:rPr>
      </w:pPr>
    </w:p>
    <w:p w:rsidR="00E70AC9" w:rsidRDefault="00E70AC9" w:rsidP="003C29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sectPr w:rsidR="00E70AC9" w:rsidSect="00AF5D4B">
      <w:footerReference w:type="even" r:id="rId9"/>
      <w:footerReference w:type="default" r:id="rId10"/>
      <w:pgSz w:w="11906" w:h="16838"/>
      <w:pgMar w:top="53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CC" w:rsidRDefault="00E066CC">
      <w:r>
        <w:separator/>
      </w:r>
    </w:p>
  </w:endnote>
  <w:endnote w:type="continuationSeparator" w:id="0">
    <w:p w:rsidR="00E066CC" w:rsidRDefault="00E0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AC9" w:rsidRDefault="00E70AC9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AC9" w:rsidRDefault="00E70AC9" w:rsidP="003D206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AC9" w:rsidRDefault="00E70AC9" w:rsidP="00B13DB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5AF6">
      <w:rPr>
        <w:rStyle w:val="a9"/>
        <w:noProof/>
      </w:rPr>
      <w:t>2</w:t>
    </w:r>
    <w:r>
      <w:rPr>
        <w:rStyle w:val="a9"/>
      </w:rPr>
      <w:fldChar w:fldCharType="end"/>
    </w:r>
  </w:p>
  <w:p w:rsidR="00E70AC9" w:rsidRDefault="00E70AC9" w:rsidP="003D206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CC" w:rsidRDefault="00E066CC">
      <w:r>
        <w:separator/>
      </w:r>
    </w:p>
  </w:footnote>
  <w:footnote w:type="continuationSeparator" w:id="0">
    <w:p w:rsidR="00E066CC" w:rsidRDefault="00E06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2E45FF"/>
    <w:multiLevelType w:val="hybridMultilevel"/>
    <w:tmpl w:val="5B9AB5A0"/>
    <w:lvl w:ilvl="0" w:tplc="41E684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00506A"/>
    <w:multiLevelType w:val="hybridMultilevel"/>
    <w:tmpl w:val="15583D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475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25C6"/>
    <w:rsid w:val="000D2A21"/>
    <w:rsid w:val="000E5E20"/>
    <w:rsid w:val="000F56A7"/>
    <w:rsid w:val="000F5FA4"/>
    <w:rsid w:val="001003DA"/>
    <w:rsid w:val="0010276D"/>
    <w:rsid w:val="00105F47"/>
    <w:rsid w:val="0011105F"/>
    <w:rsid w:val="0011439E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A3BA4"/>
    <w:rsid w:val="001A5BDA"/>
    <w:rsid w:val="001A66EE"/>
    <w:rsid w:val="001B011E"/>
    <w:rsid w:val="001B1E8D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47F02"/>
    <w:rsid w:val="0025058B"/>
    <w:rsid w:val="0025153E"/>
    <w:rsid w:val="002560EA"/>
    <w:rsid w:val="00256728"/>
    <w:rsid w:val="00261A67"/>
    <w:rsid w:val="0026553C"/>
    <w:rsid w:val="00266BBD"/>
    <w:rsid w:val="00270734"/>
    <w:rsid w:val="00273F43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4DF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80B49"/>
    <w:rsid w:val="00383915"/>
    <w:rsid w:val="00386B0F"/>
    <w:rsid w:val="00387935"/>
    <w:rsid w:val="00394CEF"/>
    <w:rsid w:val="00396F31"/>
    <w:rsid w:val="003A0531"/>
    <w:rsid w:val="003A212C"/>
    <w:rsid w:val="003A5C57"/>
    <w:rsid w:val="003B5705"/>
    <w:rsid w:val="003C2995"/>
    <w:rsid w:val="003C4BA6"/>
    <w:rsid w:val="003C5F71"/>
    <w:rsid w:val="003C628D"/>
    <w:rsid w:val="003C6F13"/>
    <w:rsid w:val="003D06D6"/>
    <w:rsid w:val="003D1350"/>
    <w:rsid w:val="003D206B"/>
    <w:rsid w:val="003D214E"/>
    <w:rsid w:val="003D2F1A"/>
    <w:rsid w:val="003D409F"/>
    <w:rsid w:val="003D59C7"/>
    <w:rsid w:val="003D5EA4"/>
    <w:rsid w:val="003E299F"/>
    <w:rsid w:val="003F2251"/>
    <w:rsid w:val="003F2BCC"/>
    <w:rsid w:val="003F3A2F"/>
    <w:rsid w:val="003F66C1"/>
    <w:rsid w:val="003F6FE5"/>
    <w:rsid w:val="00401063"/>
    <w:rsid w:val="004071F2"/>
    <w:rsid w:val="0041159C"/>
    <w:rsid w:val="00413564"/>
    <w:rsid w:val="00414AAA"/>
    <w:rsid w:val="00416802"/>
    <w:rsid w:val="00421A4E"/>
    <w:rsid w:val="00426190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0E86"/>
    <w:rsid w:val="00483184"/>
    <w:rsid w:val="00483791"/>
    <w:rsid w:val="004852F8"/>
    <w:rsid w:val="00491DA5"/>
    <w:rsid w:val="00492409"/>
    <w:rsid w:val="00492DF7"/>
    <w:rsid w:val="00494B6E"/>
    <w:rsid w:val="00494C35"/>
    <w:rsid w:val="0049652D"/>
    <w:rsid w:val="004A5D66"/>
    <w:rsid w:val="004A6D36"/>
    <w:rsid w:val="004A7820"/>
    <w:rsid w:val="004B1B9D"/>
    <w:rsid w:val="004B6D26"/>
    <w:rsid w:val="004B7984"/>
    <w:rsid w:val="004C06BC"/>
    <w:rsid w:val="004C1847"/>
    <w:rsid w:val="004C27E6"/>
    <w:rsid w:val="004C3960"/>
    <w:rsid w:val="004D12B6"/>
    <w:rsid w:val="004D2E96"/>
    <w:rsid w:val="004D4DA4"/>
    <w:rsid w:val="004D6C48"/>
    <w:rsid w:val="004D7C22"/>
    <w:rsid w:val="004E1AFF"/>
    <w:rsid w:val="004E2D1F"/>
    <w:rsid w:val="004F2318"/>
    <w:rsid w:val="004F3018"/>
    <w:rsid w:val="004F30A4"/>
    <w:rsid w:val="00500AA5"/>
    <w:rsid w:val="00502F5A"/>
    <w:rsid w:val="00504636"/>
    <w:rsid w:val="005066EA"/>
    <w:rsid w:val="00507AC9"/>
    <w:rsid w:val="0051320A"/>
    <w:rsid w:val="00536053"/>
    <w:rsid w:val="005457CD"/>
    <w:rsid w:val="00545BD3"/>
    <w:rsid w:val="0055259C"/>
    <w:rsid w:val="00556D89"/>
    <w:rsid w:val="00561E43"/>
    <w:rsid w:val="005667D2"/>
    <w:rsid w:val="00570688"/>
    <w:rsid w:val="00571FA2"/>
    <w:rsid w:val="0057652A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8A"/>
    <w:rsid w:val="00612DA9"/>
    <w:rsid w:val="0061578D"/>
    <w:rsid w:val="00624BCA"/>
    <w:rsid w:val="0062671A"/>
    <w:rsid w:val="00627D42"/>
    <w:rsid w:val="00635830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606E"/>
    <w:rsid w:val="006E4696"/>
    <w:rsid w:val="006E515F"/>
    <w:rsid w:val="006E62F8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51CAD"/>
    <w:rsid w:val="00767D4B"/>
    <w:rsid w:val="00770495"/>
    <w:rsid w:val="00770E5E"/>
    <w:rsid w:val="007744F1"/>
    <w:rsid w:val="00775E91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5AF6"/>
    <w:rsid w:val="00816C71"/>
    <w:rsid w:val="00820E3E"/>
    <w:rsid w:val="008237B3"/>
    <w:rsid w:val="00824838"/>
    <w:rsid w:val="00824EE4"/>
    <w:rsid w:val="00825374"/>
    <w:rsid w:val="008262A5"/>
    <w:rsid w:val="00826E63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A38"/>
    <w:rsid w:val="00854A4C"/>
    <w:rsid w:val="0086494F"/>
    <w:rsid w:val="00865489"/>
    <w:rsid w:val="00877D56"/>
    <w:rsid w:val="00877DA6"/>
    <w:rsid w:val="00883B30"/>
    <w:rsid w:val="00884897"/>
    <w:rsid w:val="00885A33"/>
    <w:rsid w:val="00890DB4"/>
    <w:rsid w:val="008925E5"/>
    <w:rsid w:val="00895217"/>
    <w:rsid w:val="00895D5B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452C"/>
    <w:rsid w:val="008F7C33"/>
    <w:rsid w:val="00901730"/>
    <w:rsid w:val="00905FE9"/>
    <w:rsid w:val="0091029A"/>
    <w:rsid w:val="00914DAF"/>
    <w:rsid w:val="009152A3"/>
    <w:rsid w:val="00917660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335C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473B5"/>
    <w:rsid w:val="00A54FB2"/>
    <w:rsid w:val="00A55F57"/>
    <w:rsid w:val="00A6158D"/>
    <w:rsid w:val="00A72526"/>
    <w:rsid w:val="00A73706"/>
    <w:rsid w:val="00A73D3D"/>
    <w:rsid w:val="00A7565D"/>
    <w:rsid w:val="00A84B6F"/>
    <w:rsid w:val="00A875AF"/>
    <w:rsid w:val="00A91D4B"/>
    <w:rsid w:val="00A9276D"/>
    <w:rsid w:val="00A929E6"/>
    <w:rsid w:val="00A94879"/>
    <w:rsid w:val="00A95718"/>
    <w:rsid w:val="00A963B9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F2"/>
    <w:rsid w:val="00AF5D4B"/>
    <w:rsid w:val="00B0479E"/>
    <w:rsid w:val="00B118C8"/>
    <w:rsid w:val="00B132AD"/>
    <w:rsid w:val="00B13D6B"/>
    <w:rsid w:val="00B13DB3"/>
    <w:rsid w:val="00B16EA5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56A63"/>
    <w:rsid w:val="00B72FB5"/>
    <w:rsid w:val="00B7481B"/>
    <w:rsid w:val="00B80FEB"/>
    <w:rsid w:val="00B9029C"/>
    <w:rsid w:val="00B91A07"/>
    <w:rsid w:val="00B94CE9"/>
    <w:rsid w:val="00B95AE2"/>
    <w:rsid w:val="00B9784B"/>
    <w:rsid w:val="00BA7181"/>
    <w:rsid w:val="00BB0E6B"/>
    <w:rsid w:val="00BB1325"/>
    <w:rsid w:val="00BB4B77"/>
    <w:rsid w:val="00BB6137"/>
    <w:rsid w:val="00BB7136"/>
    <w:rsid w:val="00BC247B"/>
    <w:rsid w:val="00BD24EE"/>
    <w:rsid w:val="00BD3747"/>
    <w:rsid w:val="00BE6D74"/>
    <w:rsid w:val="00BF0CE9"/>
    <w:rsid w:val="00BF3411"/>
    <w:rsid w:val="00C035D1"/>
    <w:rsid w:val="00C050FF"/>
    <w:rsid w:val="00C063C8"/>
    <w:rsid w:val="00C07A86"/>
    <w:rsid w:val="00C13294"/>
    <w:rsid w:val="00C1745A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327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423"/>
    <w:rsid w:val="00CA7A08"/>
    <w:rsid w:val="00CB26B8"/>
    <w:rsid w:val="00CB3720"/>
    <w:rsid w:val="00CB5061"/>
    <w:rsid w:val="00CC100D"/>
    <w:rsid w:val="00CC11FF"/>
    <w:rsid w:val="00CC1CFC"/>
    <w:rsid w:val="00CC1F7B"/>
    <w:rsid w:val="00CC6647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0840"/>
    <w:rsid w:val="00D511EA"/>
    <w:rsid w:val="00D52861"/>
    <w:rsid w:val="00D54C95"/>
    <w:rsid w:val="00D553E3"/>
    <w:rsid w:val="00D567F6"/>
    <w:rsid w:val="00D6018D"/>
    <w:rsid w:val="00D6126C"/>
    <w:rsid w:val="00D61E9E"/>
    <w:rsid w:val="00D62168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5C4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6CC"/>
    <w:rsid w:val="00E06814"/>
    <w:rsid w:val="00E12FCF"/>
    <w:rsid w:val="00E16C6D"/>
    <w:rsid w:val="00E16D95"/>
    <w:rsid w:val="00E1776D"/>
    <w:rsid w:val="00E20359"/>
    <w:rsid w:val="00E2081B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334"/>
    <w:rsid w:val="00E5485A"/>
    <w:rsid w:val="00E5615F"/>
    <w:rsid w:val="00E57482"/>
    <w:rsid w:val="00E62C94"/>
    <w:rsid w:val="00E630A1"/>
    <w:rsid w:val="00E64727"/>
    <w:rsid w:val="00E64B37"/>
    <w:rsid w:val="00E6666E"/>
    <w:rsid w:val="00E700A7"/>
    <w:rsid w:val="00E701DA"/>
    <w:rsid w:val="00E70AAD"/>
    <w:rsid w:val="00E70AC9"/>
    <w:rsid w:val="00E74B9B"/>
    <w:rsid w:val="00E76980"/>
    <w:rsid w:val="00E84542"/>
    <w:rsid w:val="00E91539"/>
    <w:rsid w:val="00E956D9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EF30F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4E1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4F89"/>
    <w:rsid w:val="00FB71EC"/>
    <w:rsid w:val="00FC3941"/>
    <w:rsid w:val="00FC5BDA"/>
    <w:rsid w:val="00FC5BE9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36861"/>
    <w:rPr>
      <w:rFonts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6510C7"/>
    <w:pPr>
      <w:jc w:val="both"/>
    </w:pPr>
    <w:rPr>
      <w:sz w:val="26"/>
    </w:rPr>
  </w:style>
  <w:style w:type="character" w:customStyle="1" w:styleId="a4">
    <w:name w:val="Основной текст Знак"/>
    <w:link w:val="a3"/>
    <w:uiPriority w:val="99"/>
    <w:semiHidden/>
    <w:locked/>
    <w:rsid w:val="00877DA6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D554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36861"/>
    <w:rPr>
      <w:rFonts w:cs="Times New Roman"/>
      <w:sz w:val="16"/>
      <w:szCs w:val="16"/>
    </w:rPr>
  </w:style>
  <w:style w:type="paragraph" w:styleId="a5">
    <w:name w:val="caption"/>
    <w:basedOn w:val="a"/>
    <w:next w:val="a"/>
    <w:uiPriority w:val="99"/>
    <w:qFormat/>
    <w:rsid w:val="00CD5546"/>
    <w:pPr>
      <w:jc w:val="center"/>
    </w:pPr>
    <w:rPr>
      <w:b/>
      <w:bCs/>
    </w:rPr>
  </w:style>
  <w:style w:type="paragraph" w:styleId="a6">
    <w:name w:val="List Paragraph"/>
    <w:basedOn w:val="a"/>
    <w:uiPriority w:val="99"/>
    <w:qFormat/>
    <w:rsid w:val="00CD55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D206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877DA6"/>
    <w:rPr>
      <w:rFonts w:cs="Times New Roman"/>
      <w:sz w:val="24"/>
      <w:szCs w:val="24"/>
    </w:rPr>
  </w:style>
  <w:style w:type="character" w:styleId="a9">
    <w:name w:val="page number"/>
    <w:uiPriority w:val="99"/>
    <w:rsid w:val="003D206B"/>
    <w:rPr>
      <w:rFonts w:cs="Times New Roman"/>
    </w:rPr>
  </w:style>
  <w:style w:type="paragraph" w:styleId="aa">
    <w:name w:val="header"/>
    <w:basedOn w:val="a"/>
    <w:link w:val="ab"/>
    <w:uiPriority w:val="99"/>
    <w:rsid w:val="002930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930BB"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rsid w:val="00682D25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rsid w:val="002A13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2A1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subject/>
  <dc:creator>Admin</dc:creator>
  <cp:keywords/>
  <dc:description/>
  <cp:lastModifiedBy>Романова Марина Александровна</cp:lastModifiedBy>
  <cp:revision>17</cp:revision>
  <cp:lastPrinted>2019-12-24T13:43:00Z</cp:lastPrinted>
  <dcterms:created xsi:type="dcterms:W3CDTF">2018-12-10T08:40:00Z</dcterms:created>
  <dcterms:modified xsi:type="dcterms:W3CDTF">2019-12-24T13:44:00Z</dcterms:modified>
</cp:coreProperties>
</file>